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66" w:rsidRDefault="006C6D82" w:rsidP="006C6D82">
      <w:pPr>
        <w:jc w:val="center"/>
        <w:rPr>
          <w:b/>
          <w:sz w:val="32"/>
          <w:szCs w:val="32"/>
        </w:rPr>
      </w:pPr>
      <w:r w:rsidRPr="006C6D82">
        <w:rPr>
          <w:b/>
          <w:sz w:val="32"/>
          <w:szCs w:val="32"/>
        </w:rPr>
        <w:t xml:space="preserve">Matchborough and Winyates District Centres </w:t>
      </w:r>
    </w:p>
    <w:p w:rsidR="006C6D82" w:rsidRPr="006C6D82" w:rsidRDefault="006C6D82" w:rsidP="00024F66">
      <w:pPr>
        <w:jc w:val="center"/>
        <w:rPr>
          <w:b/>
          <w:sz w:val="32"/>
          <w:szCs w:val="32"/>
        </w:rPr>
      </w:pPr>
      <w:r w:rsidRPr="006C6D82">
        <w:rPr>
          <w:b/>
          <w:sz w:val="32"/>
          <w:szCs w:val="32"/>
        </w:rPr>
        <w:t>Public Consultation</w:t>
      </w:r>
      <w:r w:rsidR="00024F66">
        <w:rPr>
          <w:b/>
          <w:sz w:val="32"/>
          <w:szCs w:val="32"/>
        </w:rPr>
        <w:t xml:space="preserve">: </w:t>
      </w:r>
      <w:r w:rsidRPr="006C6D82">
        <w:rPr>
          <w:b/>
          <w:sz w:val="32"/>
          <w:szCs w:val="32"/>
        </w:rPr>
        <w:t>Headline Comments</w:t>
      </w:r>
    </w:p>
    <w:p w:rsidR="00B921AC" w:rsidRPr="00314E13" w:rsidRDefault="00B921AC">
      <w:pPr>
        <w:rPr>
          <w:b/>
          <w:sz w:val="28"/>
          <w:szCs w:val="28"/>
        </w:rPr>
      </w:pPr>
      <w:r w:rsidRPr="00314E13">
        <w:rPr>
          <w:b/>
          <w:sz w:val="28"/>
          <w:szCs w:val="28"/>
        </w:rPr>
        <w:t>Introduction</w:t>
      </w:r>
    </w:p>
    <w:p w:rsidR="006C6D82" w:rsidRDefault="006C6D82">
      <w:r>
        <w:t xml:space="preserve">A period of public consultation was undertaken at both Matchborough and Winyates District Centres to gauge public perception of the current state of the </w:t>
      </w:r>
      <w:r w:rsidR="00024F66">
        <w:t xml:space="preserve">District </w:t>
      </w:r>
      <w:r>
        <w:t xml:space="preserve">Centres and what </w:t>
      </w:r>
      <w:r w:rsidR="00A97201">
        <w:t>improvements</w:t>
      </w:r>
      <w:r>
        <w:t xml:space="preserve"> they would like to see in the future.</w:t>
      </w:r>
      <w:r w:rsidR="008430BA">
        <w:t xml:space="preserve"> Officers were able to record views from a good cross section of the population ranging f</w:t>
      </w:r>
      <w:r w:rsidR="0061253F">
        <w:t xml:space="preserve">rom primary </w:t>
      </w:r>
      <w:r w:rsidR="008430BA">
        <w:t>school children to the elderly population through a series of targeted consultation events.</w:t>
      </w:r>
    </w:p>
    <w:p w:rsidR="006C6D82" w:rsidRDefault="006C6D82">
      <w:r>
        <w:t xml:space="preserve">Consultation events were held </w:t>
      </w:r>
      <w:r w:rsidR="00A97201">
        <w:t>as follows: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084"/>
        <w:gridCol w:w="3019"/>
      </w:tblGrid>
      <w:tr w:rsidR="00C6211F" w:rsidTr="00DB552B">
        <w:tc>
          <w:tcPr>
            <w:tcW w:w="9072" w:type="dxa"/>
            <w:gridSpan w:val="3"/>
          </w:tcPr>
          <w:p w:rsidR="00C6211F" w:rsidRDefault="00C6211F">
            <w:r>
              <w:rPr>
                <w:b/>
              </w:rPr>
              <w:t xml:space="preserve">Views about </w:t>
            </w:r>
            <w:r w:rsidRPr="008430BA">
              <w:rPr>
                <w:b/>
              </w:rPr>
              <w:t>Matchborough District Centre</w:t>
            </w:r>
            <w:r>
              <w:rPr>
                <w:b/>
              </w:rPr>
              <w:t xml:space="preserve"> only</w:t>
            </w:r>
          </w:p>
        </w:tc>
      </w:tr>
      <w:tr w:rsidR="00A97201" w:rsidTr="00DB552B">
        <w:tc>
          <w:tcPr>
            <w:tcW w:w="3969" w:type="dxa"/>
          </w:tcPr>
          <w:p w:rsidR="00A97201" w:rsidRDefault="00BF0CBC">
            <w:r>
              <w:t>Christ Church - All public</w:t>
            </w:r>
          </w:p>
        </w:tc>
        <w:tc>
          <w:tcPr>
            <w:tcW w:w="2084" w:type="dxa"/>
          </w:tcPr>
          <w:p w:rsidR="00A97201" w:rsidRDefault="00BF0CBC">
            <w:r>
              <w:t>21 October 2016</w:t>
            </w:r>
          </w:p>
        </w:tc>
        <w:tc>
          <w:tcPr>
            <w:tcW w:w="3019" w:type="dxa"/>
          </w:tcPr>
          <w:p w:rsidR="00A97201" w:rsidRDefault="00A97201"/>
        </w:tc>
      </w:tr>
      <w:tr w:rsidR="00A97201" w:rsidTr="00DB552B">
        <w:tc>
          <w:tcPr>
            <w:tcW w:w="3969" w:type="dxa"/>
          </w:tcPr>
          <w:p w:rsidR="00A97201" w:rsidRDefault="00BF0CBC">
            <w:r>
              <w:t>Christ Church - Youth Group</w:t>
            </w:r>
          </w:p>
        </w:tc>
        <w:tc>
          <w:tcPr>
            <w:tcW w:w="2084" w:type="dxa"/>
          </w:tcPr>
          <w:p w:rsidR="00A97201" w:rsidRDefault="00BF0CBC">
            <w:r>
              <w:t>21 October 2016</w:t>
            </w:r>
          </w:p>
        </w:tc>
        <w:tc>
          <w:tcPr>
            <w:tcW w:w="3019" w:type="dxa"/>
          </w:tcPr>
          <w:p w:rsidR="00A97201" w:rsidRDefault="00A97201"/>
        </w:tc>
      </w:tr>
      <w:tr w:rsidR="00A97201" w:rsidTr="00DB552B">
        <w:tc>
          <w:tcPr>
            <w:tcW w:w="3969" w:type="dxa"/>
          </w:tcPr>
          <w:p w:rsidR="00A97201" w:rsidRDefault="00DB552B">
            <w:r>
              <w:t xml:space="preserve">Christ Church - </w:t>
            </w:r>
            <w:r w:rsidR="00BF0CBC">
              <w:t>Lunch Club</w:t>
            </w:r>
            <w:r>
              <w:t xml:space="preserve"> for the elderly</w:t>
            </w:r>
          </w:p>
        </w:tc>
        <w:tc>
          <w:tcPr>
            <w:tcW w:w="2084" w:type="dxa"/>
          </w:tcPr>
          <w:p w:rsidR="00A97201" w:rsidRDefault="00DB552B">
            <w:r>
              <w:t>27 October 2016</w:t>
            </w:r>
          </w:p>
        </w:tc>
        <w:tc>
          <w:tcPr>
            <w:tcW w:w="3019" w:type="dxa"/>
          </w:tcPr>
          <w:p w:rsidR="00A97201" w:rsidRDefault="00A97201"/>
        </w:tc>
      </w:tr>
      <w:tr w:rsidR="00A97201" w:rsidTr="00DB552B">
        <w:tc>
          <w:tcPr>
            <w:tcW w:w="3969" w:type="dxa"/>
          </w:tcPr>
          <w:p w:rsidR="00A97201" w:rsidRDefault="00DB552B">
            <w:r>
              <w:t>Matchborough First School</w:t>
            </w:r>
            <w:r w:rsidR="003064FF">
              <w:t xml:space="preserve"> pupils</w:t>
            </w:r>
          </w:p>
        </w:tc>
        <w:tc>
          <w:tcPr>
            <w:tcW w:w="2084" w:type="dxa"/>
          </w:tcPr>
          <w:p w:rsidR="00A97201" w:rsidRDefault="00DB552B">
            <w:r>
              <w:t>1 November 2016</w:t>
            </w:r>
          </w:p>
          <w:p w:rsidR="00DB552B" w:rsidRDefault="00DB552B"/>
        </w:tc>
        <w:tc>
          <w:tcPr>
            <w:tcW w:w="3019" w:type="dxa"/>
          </w:tcPr>
          <w:p w:rsidR="00A97201" w:rsidRDefault="00A97201"/>
        </w:tc>
      </w:tr>
      <w:tr w:rsidR="00C6211F" w:rsidTr="00DB552B">
        <w:tc>
          <w:tcPr>
            <w:tcW w:w="9072" w:type="dxa"/>
            <w:gridSpan w:val="3"/>
          </w:tcPr>
          <w:p w:rsidR="00C6211F" w:rsidRDefault="00C6211F">
            <w:r>
              <w:rPr>
                <w:b/>
              </w:rPr>
              <w:t xml:space="preserve">Views about </w:t>
            </w:r>
            <w:r w:rsidRPr="00C6211F">
              <w:rPr>
                <w:b/>
              </w:rPr>
              <w:t>Winyates District Centre</w:t>
            </w:r>
            <w:r>
              <w:rPr>
                <w:b/>
              </w:rPr>
              <w:t xml:space="preserve"> only</w:t>
            </w:r>
          </w:p>
        </w:tc>
      </w:tr>
      <w:tr w:rsidR="00A97201" w:rsidTr="00DB552B">
        <w:tc>
          <w:tcPr>
            <w:tcW w:w="3969" w:type="dxa"/>
          </w:tcPr>
          <w:p w:rsidR="00A97201" w:rsidRDefault="00DB552B">
            <w:r>
              <w:t>The Space - All public</w:t>
            </w:r>
          </w:p>
        </w:tc>
        <w:tc>
          <w:tcPr>
            <w:tcW w:w="2084" w:type="dxa"/>
          </w:tcPr>
          <w:p w:rsidR="00A97201" w:rsidRDefault="00DB552B">
            <w:r>
              <w:t>18 October 2016</w:t>
            </w:r>
          </w:p>
        </w:tc>
        <w:tc>
          <w:tcPr>
            <w:tcW w:w="3019" w:type="dxa"/>
          </w:tcPr>
          <w:p w:rsidR="00A97201" w:rsidRDefault="00A97201"/>
        </w:tc>
      </w:tr>
      <w:tr w:rsidR="00A97201" w:rsidTr="00DB552B">
        <w:tc>
          <w:tcPr>
            <w:tcW w:w="3969" w:type="dxa"/>
          </w:tcPr>
          <w:p w:rsidR="00A97201" w:rsidRDefault="00DB552B">
            <w:r>
              <w:t>The Link - All public</w:t>
            </w:r>
          </w:p>
        </w:tc>
        <w:tc>
          <w:tcPr>
            <w:tcW w:w="2084" w:type="dxa"/>
          </w:tcPr>
          <w:p w:rsidR="00A97201" w:rsidRDefault="00DB552B">
            <w:r>
              <w:t>18 October 2016</w:t>
            </w:r>
          </w:p>
          <w:p w:rsidR="00DB552B" w:rsidRDefault="00DB552B"/>
        </w:tc>
        <w:tc>
          <w:tcPr>
            <w:tcW w:w="3019" w:type="dxa"/>
          </w:tcPr>
          <w:p w:rsidR="00A97201" w:rsidRDefault="00A97201"/>
        </w:tc>
      </w:tr>
      <w:tr w:rsidR="00C6211F" w:rsidTr="00DB552B">
        <w:tc>
          <w:tcPr>
            <w:tcW w:w="9072" w:type="dxa"/>
            <w:gridSpan w:val="3"/>
          </w:tcPr>
          <w:p w:rsidR="00C6211F" w:rsidRDefault="00C6211F">
            <w:r>
              <w:rPr>
                <w:b/>
              </w:rPr>
              <w:t>Views about b</w:t>
            </w:r>
            <w:r w:rsidRPr="00C6211F">
              <w:rPr>
                <w:b/>
              </w:rPr>
              <w:t>oth District Centres</w:t>
            </w:r>
          </w:p>
        </w:tc>
      </w:tr>
      <w:tr w:rsidR="00A97201" w:rsidTr="00DB552B">
        <w:tc>
          <w:tcPr>
            <w:tcW w:w="3969" w:type="dxa"/>
          </w:tcPr>
          <w:p w:rsidR="00A97201" w:rsidRDefault="00DB552B">
            <w:r>
              <w:t>RBC Stakeholder event</w:t>
            </w:r>
          </w:p>
        </w:tc>
        <w:tc>
          <w:tcPr>
            <w:tcW w:w="2084" w:type="dxa"/>
          </w:tcPr>
          <w:p w:rsidR="00A97201" w:rsidRDefault="00DB552B">
            <w:r>
              <w:t>10 October 2016</w:t>
            </w:r>
          </w:p>
        </w:tc>
        <w:tc>
          <w:tcPr>
            <w:tcW w:w="3019" w:type="dxa"/>
          </w:tcPr>
          <w:p w:rsidR="00A97201" w:rsidRDefault="00A97201"/>
        </w:tc>
      </w:tr>
      <w:tr w:rsidR="00DB552B" w:rsidTr="00DB552B">
        <w:tc>
          <w:tcPr>
            <w:tcW w:w="3969" w:type="dxa"/>
          </w:tcPr>
          <w:p w:rsidR="00DB552B" w:rsidRDefault="00DB552B" w:rsidP="00BF04C3">
            <w:r>
              <w:t>Christ Church - All public</w:t>
            </w:r>
          </w:p>
        </w:tc>
        <w:tc>
          <w:tcPr>
            <w:tcW w:w="2084" w:type="dxa"/>
          </w:tcPr>
          <w:p w:rsidR="00DB552B" w:rsidRDefault="00DB552B" w:rsidP="00DB552B">
            <w:r>
              <w:t>24 October 2016</w:t>
            </w:r>
          </w:p>
        </w:tc>
        <w:tc>
          <w:tcPr>
            <w:tcW w:w="3019" w:type="dxa"/>
          </w:tcPr>
          <w:p w:rsidR="00DB552B" w:rsidRDefault="00DB552B"/>
        </w:tc>
      </w:tr>
      <w:tr w:rsidR="00DB552B" w:rsidTr="00DB552B">
        <w:tc>
          <w:tcPr>
            <w:tcW w:w="3969" w:type="dxa"/>
          </w:tcPr>
          <w:p w:rsidR="00DB552B" w:rsidRDefault="00DB552B">
            <w:r>
              <w:t>RSA Academy Arrow Vale</w:t>
            </w:r>
            <w:r w:rsidR="003064FF">
              <w:t xml:space="preserve"> pupils</w:t>
            </w:r>
          </w:p>
        </w:tc>
        <w:tc>
          <w:tcPr>
            <w:tcW w:w="2084" w:type="dxa"/>
          </w:tcPr>
          <w:p w:rsidR="00DB552B" w:rsidRDefault="00DB552B">
            <w:r>
              <w:t>4 November 2016</w:t>
            </w:r>
          </w:p>
        </w:tc>
        <w:tc>
          <w:tcPr>
            <w:tcW w:w="3019" w:type="dxa"/>
          </w:tcPr>
          <w:p w:rsidR="00DB552B" w:rsidRDefault="00DB552B"/>
        </w:tc>
      </w:tr>
      <w:tr w:rsidR="00DB552B" w:rsidTr="00DB552B">
        <w:tc>
          <w:tcPr>
            <w:tcW w:w="3969" w:type="dxa"/>
          </w:tcPr>
          <w:p w:rsidR="00DB552B" w:rsidRDefault="00DB552B">
            <w:proofErr w:type="spellStart"/>
            <w:r>
              <w:t>Ipsley</w:t>
            </w:r>
            <w:proofErr w:type="spellEnd"/>
            <w:r>
              <w:t xml:space="preserve"> RSA Academy</w:t>
            </w:r>
            <w:r w:rsidR="003064FF">
              <w:t xml:space="preserve"> pupils</w:t>
            </w:r>
          </w:p>
        </w:tc>
        <w:tc>
          <w:tcPr>
            <w:tcW w:w="2084" w:type="dxa"/>
          </w:tcPr>
          <w:p w:rsidR="00DB552B" w:rsidRDefault="00DB552B">
            <w:r>
              <w:t>4 November 2016</w:t>
            </w:r>
          </w:p>
        </w:tc>
        <w:tc>
          <w:tcPr>
            <w:tcW w:w="3019" w:type="dxa"/>
          </w:tcPr>
          <w:p w:rsidR="00DB552B" w:rsidRDefault="00DB552B"/>
        </w:tc>
      </w:tr>
    </w:tbl>
    <w:p w:rsidR="00A97201" w:rsidRDefault="00A97201"/>
    <w:p w:rsidR="00A97201" w:rsidRDefault="00A97201" w:rsidP="00A97201">
      <w:r>
        <w:t>Planning officers used a Planning for Real</w:t>
      </w:r>
      <w:r w:rsidR="00DB552B">
        <w:t>®</w:t>
      </w:r>
      <w:r>
        <w:t xml:space="preserve"> tool whereby members of the public placed </w:t>
      </w:r>
      <w:r w:rsidR="00DB552B">
        <w:t xml:space="preserve">topic </w:t>
      </w:r>
      <w:r>
        <w:t>cards on a 3D map base indicating where they perceived issues to be</w:t>
      </w:r>
      <w:r w:rsidR="0061253F">
        <w:t>,</w:t>
      </w:r>
      <w:r>
        <w:t xml:space="preserve"> what solutions </w:t>
      </w:r>
      <w:r w:rsidR="00D756EC">
        <w:t>could</w:t>
      </w:r>
      <w:r>
        <w:t xml:space="preserve"> be put in place</w:t>
      </w:r>
      <w:r w:rsidR="0061253F">
        <w:t xml:space="preserve"> and their aspirations for the District Centres in the future</w:t>
      </w:r>
      <w:r>
        <w:t xml:space="preserve">. The </w:t>
      </w:r>
      <w:r w:rsidR="00DB552B">
        <w:t xml:space="preserve">topic </w:t>
      </w:r>
      <w:r>
        <w:t>cards are colour coded by category as follows: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18"/>
        <w:gridCol w:w="7611"/>
      </w:tblGrid>
      <w:tr w:rsidR="00A97201" w:rsidTr="00D756EC">
        <w:tc>
          <w:tcPr>
            <w:tcW w:w="1518" w:type="dxa"/>
          </w:tcPr>
          <w:p w:rsidR="00A97201" w:rsidRDefault="00A97201" w:rsidP="00AB1CC7">
            <w:r>
              <w:t>Dark Blue:</w:t>
            </w:r>
          </w:p>
        </w:tc>
        <w:tc>
          <w:tcPr>
            <w:tcW w:w="7616" w:type="dxa"/>
          </w:tcPr>
          <w:p w:rsidR="00A97201" w:rsidRDefault="00A97201" w:rsidP="00AB1CC7">
            <w:r>
              <w:t>Work, Training, Education</w:t>
            </w:r>
          </w:p>
        </w:tc>
      </w:tr>
      <w:tr w:rsidR="00A97201" w:rsidTr="00D756EC">
        <w:tc>
          <w:tcPr>
            <w:tcW w:w="1518" w:type="dxa"/>
          </w:tcPr>
          <w:p w:rsidR="00A97201" w:rsidRDefault="00A97201" w:rsidP="00AB1CC7">
            <w:r>
              <w:t>Dark Green:</w:t>
            </w:r>
          </w:p>
        </w:tc>
        <w:tc>
          <w:tcPr>
            <w:tcW w:w="7616" w:type="dxa"/>
          </w:tcPr>
          <w:p w:rsidR="00A97201" w:rsidRDefault="00A97201" w:rsidP="00AB1CC7">
            <w:r>
              <w:t>Local Environment</w:t>
            </w:r>
          </w:p>
        </w:tc>
      </w:tr>
      <w:tr w:rsidR="00A97201" w:rsidTr="00D756EC">
        <w:tc>
          <w:tcPr>
            <w:tcW w:w="1518" w:type="dxa"/>
          </w:tcPr>
          <w:p w:rsidR="00A97201" w:rsidRDefault="00A97201" w:rsidP="00AB1CC7">
            <w:r>
              <w:t>Grey:</w:t>
            </w:r>
          </w:p>
        </w:tc>
        <w:tc>
          <w:tcPr>
            <w:tcW w:w="7616" w:type="dxa"/>
          </w:tcPr>
          <w:p w:rsidR="00A97201" w:rsidRDefault="00A97201" w:rsidP="00AB1CC7">
            <w:r>
              <w:t>Health</w:t>
            </w:r>
          </w:p>
        </w:tc>
      </w:tr>
      <w:tr w:rsidR="00A97201" w:rsidTr="00D756EC">
        <w:tc>
          <w:tcPr>
            <w:tcW w:w="1518" w:type="dxa"/>
          </w:tcPr>
          <w:p w:rsidR="00A97201" w:rsidRDefault="00A97201" w:rsidP="00AB1CC7">
            <w:r>
              <w:t>Light Green:</w:t>
            </w:r>
          </w:p>
        </w:tc>
        <w:tc>
          <w:tcPr>
            <w:tcW w:w="7616" w:type="dxa"/>
          </w:tcPr>
          <w:p w:rsidR="00A97201" w:rsidRDefault="00A97201" w:rsidP="00AB1CC7">
            <w:r>
              <w:t>Leisure</w:t>
            </w:r>
          </w:p>
        </w:tc>
      </w:tr>
      <w:tr w:rsidR="00A97201" w:rsidTr="00D756EC">
        <w:tc>
          <w:tcPr>
            <w:tcW w:w="1518" w:type="dxa"/>
          </w:tcPr>
          <w:p w:rsidR="00A97201" w:rsidRDefault="00A97201" w:rsidP="00AB1CC7">
            <w:r>
              <w:t>Orange:</w:t>
            </w:r>
          </w:p>
        </w:tc>
        <w:tc>
          <w:tcPr>
            <w:tcW w:w="7616" w:type="dxa"/>
          </w:tcPr>
          <w:p w:rsidR="00A97201" w:rsidRDefault="00A97201" w:rsidP="00FB3C8D">
            <w:r>
              <w:t>Crime &amp; Safety</w:t>
            </w:r>
          </w:p>
        </w:tc>
      </w:tr>
      <w:tr w:rsidR="00A97201" w:rsidTr="00D756EC">
        <w:tc>
          <w:tcPr>
            <w:tcW w:w="1518" w:type="dxa"/>
          </w:tcPr>
          <w:p w:rsidR="00A97201" w:rsidRDefault="00A97201" w:rsidP="00AB1CC7">
            <w:r>
              <w:t>Pink:</w:t>
            </w:r>
          </w:p>
        </w:tc>
        <w:tc>
          <w:tcPr>
            <w:tcW w:w="7616" w:type="dxa"/>
          </w:tcPr>
          <w:p w:rsidR="00A97201" w:rsidRDefault="00A97201" w:rsidP="00FB3C8D">
            <w:r>
              <w:t>Community Facilities</w:t>
            </w:r>
          </w:p>
        </w:tc>
      </w:tr>
      <w:tr w:rsidR="00A97201" w:rsidTr="00D756EC">
        <w:tc>
          <w:tcPr>
            <w:tcW w:w="1518" w:type="dxa"/>
          </w:tcPr>
          <w:p w:rsidR="00A97201" w:rsidRDefault="00A97201" w:rsidP="00AB1CC7">
            <w:r>
              <w:t>Red:</w:t>
            </w:r>
          </w:p>
        </w:tc>
        <w:tc>
          <w:tcPr>
            <w:tcW w:w="7616" w:type="dxa"/>
          </w:tcPr>
          <w:p w:rsidR="00A97201" w:rsidRDefault="00A97201" w:rsidP="00AB1CC7">
            <w:r>
              <w:t>Traffic &amp; Transport</w:t>
            </w:r>
          </w:p>
        </w:tc>
      </w:tr>
      <w:tr w:rsidR="00A97201" w:rsidTr="00D756EC">
        <w:tc>
          <w:tcPr>
            <w:tcW w:w="1518" w:type="dxa"/>
          </w:tcPr>
          <w:p w:rsidR="00A97201" w:rsidRDefault="00A97201" w:rsidP="00AB1CC7">
            <w:r>
              <w:t>Yellow:</w:t>
            </w:r>
          </w:p>
        </w:tc>
        <w:tc>
          <w:tcPr>
            <w:tcW w:w="7616" w:type="dxa"/>
          </w:tcPr>
          <w:p w:rsidR="00A97201" w:rsidRDefault="00A97201" w:rsidP="00AB1CC7">
            <w:r>
              <w:t>Housing</w:t>
            </w:r>
          </w:p>
        </w:tc>
      </w:tr>
    </w:tbl>
    <w:p w:rsidR="00A97201" w:rsidRDefault="00A97201" w:rsidP="00A97201"/>
    <w:p w:rsidR="000D7FC8" w:rsidRDefault="000D7FC8">
      <w:r>
        <w:br w:type="page"/>
      </w:r>
    </w:p>
    <w:p w:rsidR="00FF4D02" w:rsidRDefault="00DB552B" w:rsidP="00FF4D02">
      <w:r>
        <w:lastRenderedPageBreak/>
        <w:t xml:space="preserve">Overall, </w:t>
      </w:r>
      <w:r w:rsidR="009266BB">
        <w:t xml:space="preserve">a total of 2188 responses were received, </w:t>
      </w:r>
      <w:r>
        <w:t>1395 responses</w:t>
      </w:r>
      <w:r w:rsidR="00FF4D02">
        <w:t xml:space="preserve"> were recorded for Matchb</w:t>
      </w:r>
      <w:r>
        <w:t>orough District Centre and 793 responses</w:t>
      </w:r>
      <w:r w:rsidR="00FF4D02">
        <w:t xml:space="preserve"> were recorded in relation to Winyates District Centre. </w:t>
      </w:r>
    </w:p>
    <w:p w:rsidR="00D756EC" w:rsidRDefault="00FF4D02" w:rsidP="00A97201">
      <w:r>
        <w:t xml:space="preserve">Below </w:t>
      </w:r>
      <w:r w:rsidR="00D756EC">
        <w:t>is an example of the 3D board with issues cards placed.</w:t>
      </w:r>
      <w:r w:rsidR="00FB5EC3">
        <w:t xml:space="preserve"> These are recorded at the end of the consultation session and transferred into spreadsheets for analysis.</w:t>
      </w:r>
    </w:p>
    <w:p w:rsidR="00D756EC" w:rsidRDefault="00DB552B" w:rsidP="00A97201">
      <w:r>
        <w:rPr>
          <w:noProof/>
          <w:lang w:eastAsia="en-GB"/>
        </w:rPr>
        <w:drawing>
          <wp:inline distT="0" distB="0" distL="0" distR="0">
            <wp:extent cx="5731510" cy="32169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018_16_35_39_P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16910"/>
                    </a:xfrm>
                    <a:prstGeom prst="rect">
                      <a:avLst/>
                    </a:prstGeom>
                  </pic:spPr>
                </pic:pic>
              </a:graphicData>
            </a:graphic>
          </wp:inline>
        </w:drawing>
      </w:r>
    </w:p>
    <w:p w:rsidR="009266BB" w:rsidRPr="009266BB" w:rsidRDefault="009266BB" w:rsidP="00A97201">
      <w:pPr>
        <w:rPr>
          <w:sz w:val="16"/>
          <w:szCs w:val="16"/>
        </w:rPr>
      </w:pPr>
      <w:r w:rsidRPr="009266BB">
        <w:rPr>
          <w:sz w:val="16"/>
          <w:szCs w:val="16"/>
        </w:rPr>
        <w:t>Consultation event at The Link, Winyates District Centre, 18 October 2016</w:t>
      </w:r>
    </w:p>
    <w:p w:rsidR="00563AD2" w:rsidRDefault="00563AD2">
      <w:pPr>
        <w:rPr>
          <w:b/>
        </w:rPr>
      </w:pPr>
      <w:r>
        <w:rPr>
          <w:b/>
        </w:rPr>
        <w:br w:type="page"/>
      </w:r>
    </w:p>
    <w:p w:rsidR="00B921AC" w:rsidRPr="00314E13" w:rsidRDefault="00B921AC" w:rsidP="008A4E0E">
      <w:pPr>
        <w:rPr>
          <w:b/>
          <w:sz w:val="28"/>
          <w:szCs w:val="28"/>
        </w:rPr>
      </w:pPr>
      <w:r w:rsidRPr="00314E13">
        <w:rPr>
          <w:b/>
          <w:sz w:val="28"/>
          <w:szCs w:val="28"/>
        </w:rPr>
        <w:lastRenderedPageBreak/>
        <w:t>Headline Issues - Matchborough District Centre</w:t>
      </w:r>
    </w:p>
    <w:p w:rsidR="00A97201" w:rsidRDefault="00F105E4" w:rsidP="00A97201">
      <w:r>
        <w:rPr>
          <w:noProof/>
          <w:lang w:eastAsia="en-GB"/>
        </w:rPr>
        <w:drawing>
          <wp:inline distT="0" distB="0" distL="0" distR="0" wp14:anchorId="47C3FCEC" wp14:editId="18504FB6">
            <wp:extent cx="5731510" cy="4125952"/>
            <wp:effectExtent l="0" t="0" r="2159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66BB" w:rsidRDefault="001978D2" w:rsidP="00A97201">
      <w:r>
        <w:t xml:space="preserve">In relation to Matchborough District Centre, </w:t>
      </w:r>
      <w:r w:rsidR="009266BB">
        <w:t>an</w:t>
      </w:r>
      <w:r w:rsidR="00B921AC">
        <w:t xml:space="preserve"> overwhelming </w:t>
      </w:r>
      <w:r w:rsidR="009266BB">
        <w:t>number of</w:t>
      </w:r>
      <w:r w:rsidR="00B921AC">
        <w:t xml:space="preserve"> response</w:t>
      </w:r>
      <w:r w:rsidR="00563AD2">
        <w:t>s</w:t>
      </w:r>
      <w:r w:rsidR="00B921AC">
        <w:t xml:space="preserve"> related to making better use of the vast amount of open space around the District Centre (Local Environment </w:t>
      </w:r>
      <w:r w:rsidR="00563AD2">
        <w:t xml:space="preserve">(23%) </w:t>
      </w:r>
      <w:r w:rsidR="00B921AC">
        <w:t>and Leisure</w:t>
      </w:r>
      <w:r w:rsidR="00563AD2">
        <w:t xml:space="preserve"> (17%)</w:t>
      </w:r>
      <w:r w:rsidR="00B921AC">
        <w:t xml:space="preserve">). Better designed open space provision could alleviate the negativity associated with the younger population by providing appropriate areas for leisure and community activities thereby reducing the need for them to hang around </w:t>
      </w:r>
      <w:r w:rsidR="00A337EC">
        <w:t>‘</w:t>
      </w:r>
      <w:r w:rsidR="00B921AC">
        <w:t>on street corners</w:t>
      </w:r>
      <w:r w:rsidR="00A337EC">
        <w:t>’</w:t>
      </w:r>
      <w:r w:rsidR="00B921AC">
        <w:t>.</w:t>
      </w:r>
      <w:r w:rsidR="00A337EC">
        <w:t xml:space="preserve"> There is a clear desire to improve the pond and surrounding green spaces to create a focal point for everyone’s benefit, to enhance these assets and create a stronger sense of community.</w:t>
      </w:r>
      <w:r w:rsidR="00A207AC">
        <w:t xml:space="preserve"> There is also a desire to improve community facilities and </w:t>
      </w:r>
      <w:r w:rsidR="00460B04">
        <w:t>the</w:t>
      </w:r>
      <w:r w:rsidR="00A207AC">
        <w:t xml:space="preserve"> general sense of community within the District Centre.</w:t>
      </w:r>
      <w:r w:rsidR="009266BB" w:rsidRPr="009266BB">
        <w:t xml:space="preserve"> </w:t>
      </w:r>
    </w:p>
    <w:p w:rsidR="003C2407" w:rsidRDefault="009266BB" w:rsidP="00A97201">
      <w:r>
        <w:t xml:space="preserve">By way of contrast, </w:t>
      </w:r>
      <w:r>
        <w:t xml:space="preserve">the </w:t>
      </w:r>
      <w:r w:rsidR="00085EE6">
        <w:t>majority of negative responses</w:t>
      </w:r>
      <w:r>
        <w:t xml:space="preserve"> relate to the Crime and Safety category (21%) and in particular in relation to young people hanging around, people feeling unsafe or afraid to go out at night, which could in part be attributed to poor lighting and lack of appropriate youth facilities which were also identified.</w:t>
      </w:r>
    </w:p>
    <w:p w:rsidR="00563AD2" w:rsidRDefault="00563AD2" w:rsidP="00A97201">
      <w:r>
        <w:t>The following graphs depict the most frequently placed topic cards, showing all results where at least five cards were placed on the 3D maps. The graphs also depict the locations where topic cards were most frequently placed, which gives a good indication of the locations that need to be considered as concept plans are advanced.</w:t>
      </w:r>
    </w:p>
    <w:p w:rsidR="003064FF" w:rsidRDefault="003064FF">
      <w:pPr>
        <w:rPr>
          <w:b/>
        </w:rPr>
      </w:pPr>
      <w:r>
        <w:rPr>
          <w:b/>
        </w:rPr>
        <w:br w:type="page"/>
      </w:r>
    </w:p>
    <w:p w:rsidR="003064FF" w:rsidRPr="00314E13" w:rsidRDefault="003064FF" w:rsidP="00A97201">
      <w:pPr>
        <w:rPr>
          <w:b/>
          <w:sz w:val="28"/>
          <w:szCs w:val="28"/>
        </w:rPr>
      </w:pPr>
      <w:r w:rsidRPr="00314E13">
        <w:rPr>
          <w:b/>
          <w:sz w:val="28"/>
          <w:szCs w:val="28"/>
        </w:rPr>
        <w:lastRenderedPageBreak/>
        <w:t>Local Environment</w:t>
      </w:r>
    </w:p>
    <w:p w:rsidR="003064FF" w:rsidRDefault="003064FF" w:rsidP="00A97201">
      <w:pPr>
        <w:rPr>
          <w:b/>
        </w:rPr>
      </w:pPr>
      <w:r>
        <w:rPr>
          <w:noProof/>
          <w:lang w:eastAsia="en-GB"/>
        </w:rPr>
        <w:drawing>
          <wp:inline distT="0" distB="0" distL="0" distR="0" wp14:anchorId="4AE44253" wp14:editId="4210B121">
            <wp:extent cx="5731510" cy="3452687"/>
            <wp:effectExtent l="0" t="0" r="2159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64FF" w:rsidRDefault="003064FF" w:rsidP="00A97201">
      <w:pPr>
        <w:rPr>
          <w:b/>
        </w:rPr>
      </w:pPr>
    </w:p>
    <w:p w:rsidR="003064FF" w:rsidRDefault="009264A9" w:rsidP="00A97201">
      <w:pPr>
        <w:rPr>
          <w:b/>
        </w:rPr>
      </w:pPr>
      <w:r>
        <w:rPr>
          <w:noProof/>
          <w:lang w:eastAsia="en-GB"/>
        </w:rPr>
        <w:drawing>
          <wp:inline distT="0" distB="0" distL="0" distR="0" wp14:anchorId="3008094B" wp14:editId="3F59489B">
            <wp:extent cx="5731510" cy="3343275"/>
            <wp:effectExtent l="0" t="0" r="2159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4E13" w:rsidRDefault="00314E13">
      <w:pPr>
        <w:rPr>
          <w:b/>
          <w:color w:val="66FF33"/>
          <w:sz w:val="28"/>
          <w:szCs w:val="28"/>
        </w:rPr>
      </w:pPr>
      <w:r>
        <w:rPr>
          <w:b/>
          <w:color w:val="66FF33"/>
          <w:sz w:val="28"/>
          <w:szCs w:val="28"/>
        </w:rPr>
        <w:br w:type="page"/>
      </w:r>
    </w:p>
    <w:p w:rsidR="003064FF" w:rsidRDefault="00314E13" w:rsidP="00A97201">
      <w:pPr>
        <w:rPr>
          <w:b/>
          <w:sz w:val="28"/>
          <w:szCs w:val="28"/>
        </w:rPr>
      </w:pPr>
      <w:r w:rsidRPr="00314E13">
        <w:rPr>
          <w:b/>
          <w:sz w:val="28"/>
          <w:szCs w:val="28"/>
        </w:rPr>
        <w:lastRenderedPageBreak/>
        <w:t>Leisure</w:t>
      </w:r>
    </w:p>
    <w:p w:rsidR="00314E13" w:rsidRDefault="00314E13" w:rsidP="00A97201">
      <w:pPr>
        <w:rPr>
          <w:b/>
          <w:sz w:val="28"/>
          <w:szCs w:val="28"/>
        </w:rPr>
      </w:pPr>
      <w:r>
        <w:rPr>
          <w:noProof/>
          <w:lang w:eastAsia="en-GB"/>
        </w:rPr>
        <w:drawing>
          <wp:inline distT="0" distB="0" distL="0" distR="0" wp14:anchorId="33BB459B" wp14:editId="61A42C24">
            <wp:extent cx="5732890" cy="3697356"/>
            <wp:effectExtent l="0" t="0" r="2032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670" w:rsidRDefault="00BF4670" w:rsidP="00A97201">
      <w:pPr>
        <w:rPr>
          <w:b/>
          <w:sz w:val="28"/>
          <w:szCs w:val="28"/>
        </w:rPr>
      </w:pPr>
    </w:p>
    <w:p w:rsidR="00BF4670" w:rsidRDefault="009264A9" w:rsidP="00A97201">
      <w:pPr>
        <w:rPr>
          <w:b/>
        </w:rPr>
      </w:pPr>
      <w:r>
        <w:rPr>
          <w:noProof/>
          <w:lang w:eastAsia="en-GB"/>
        </w:rPr>
        <w:drawing>
          <wp:inline distT="0" distB="0" distL="0" distR="0" wp14:anchorId="3244872E" wp14:editId="0A02CF2C">
            <wp:extent cx="5731510" cy="3754120"/>
            <wp:effectExtent l="0" t="0" r="2159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7142" w:rsidRDefault="003D7142" w:rsidP="00A97201">
      <w:pPr>
        <w:rPr>
          <w:b/>
          <w:sz w:val="28"/>
          <w:szCs w:val="28"/>
        </w:rPr>
      </w:pPr>
    </w:p>
    <w:p w:rsidR="00BF4670" w:rsidRPr="00BF4670" w:rsidRDefault="00BF4670" w:rsidP="00A97201">
      <w:pPr>
        <w:rPr>
          <w:b/>
          <w:sz w:val="28"/>
          <w:szCs w:val="28"/>
        </w:rPr>
      </w:pPr>
      <w:r w:rsidRPr="00BF4670">
        <w:rPr>
          <w:b/>
          <w:sz w:val="28"/>
          <w:szCs w:val="28"/>
        </w:rPr>
        <w:lastRenderedPageBreak/>
        <w:t>Crime &amp; Safety</w:t>
      </w:r>
    </w:p>
    <w:p w:rsidR="00B921AC" w:rsidRDefault="00615982" w:rsidP="00B921AC">
      <w:pPr>
        <w:rPr>
          <w:b/>
        </w:rPr>
      </w:pPr>
      <w:r>
        <w:rPr>
          <w:noProof/>
          <w:lang w:eastAsia="en-GB"/>
        </w:rPr>
        <w:drawing>
          <wp:inline distT="0" distB="0" distL="0" distR="0" wp14:anchorId="623FBF63" wp14:editId="6CA689EE">
            <wp:extent cx="5731510" cy="4006546"/>
            <wp:effectExtent l="0" t="0" r="2159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5982" w:rsidRDefault="00615982" w:rsidP="00B921AC">
      <w:pPr>
        <w:rPr>
          <w:b/>
        </w:rPr>
      </w:pPr>
    </w:p>
    <w:p w:rsidR="00B921AC" w:rsidRDefault="009264A9" w:rsidP="00B921AC">
      <w:pPr>
        <w:rPr>
          <w:b/>
        </w:rPr>
      </w:pPr>
      <w:r>
        <w:rPr>
          <w:noProof/>
          <w:lang w:eastAsia="en-GB"/>
        </w:rPr>
        <w:drawing>
          <wp:inline distT="0" distB="0" distL="0" distR="0" wp14:anchorId="725A5E2D" wp14:editId="0FDBE022">
            <wp:extent cx="5731510" cy="3740150"/>
            <wp:effectExtent l="0" t="0" r="2159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7FC8" w:rsidRDefault="000D7FC8">
      <w:pPr>
        <w:rPr>
          <w:b/>
          <w:sz w:val="28"/>
          <w:szCs w:val="28"/>
        </w:rPr>
      </w:pPr>
      <w:r>
        <w:rPr>
          <w:b/>
          <w:sz w:val="28"/>
          <w:szCs w:val="28"/>
        </w:rPr>
        <w:br w:type="page"/>
      </w:r>
    </w:p>
    <w:p w:rsidR="003D7142" w:rsidRPr="003D7142" w:rsidRDefault="003D7142" w:rsidP="00B921AC">
      <w:pPr>
        <w:rPr>
          <w:b/>
          <w:sz w:val="28"/>
          <w:szCs w:val="28"/>
        </w:rPr>
      </w:pPr>
      <w:r w:rsidRPr="003D7142">
        <w:rPr>
          <w:b/>
          <w:sz w:val="28"/>
          <w:szCs w:val="28"/>
        </w:rPr>
        <w:lastRenderedPageBreak/>
        <w:t>Community Facilities</w:t>
      </w:r>
    </w:p>
    <w:p w:rsidR="003D7142" w:rsidRDefault="003D7142" w:rsidP="00B921AC">
      <w:pPr>
        <w:rPr>
          <w:b/>
        </w:rPr>
      </w:pPr>
      <w:r>
        <w:rPr>
          <w:noProof/>
          <w:lang w:eastAsia="en-GB"/>
        </w:rPr>
        <w:drawing>
          <wp:inline distT="0" distB="0" distL="0" distR="0" wp14:anchorId="23D11070" wp14:editId="3D5A769A">
            <wp:extent cx="5732890" cy="3514477"/>
            <wp:effectExtent l="0" t="0" r="20320"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7142" w:rsidRDefault="003D7142" w:rsidP="00B921AC">
      <w:pPr>
        <w:rPr>
          <w:b/>
        </w:rPr>
      </w:pPr>
    </w:p>
    <w:p w:rsidR="003D7142" w:rsidRDefault="009264A9" w:rsidP="00B921AC">
      <w:pPr>
        <w:rPr>
          <w:b/>
        </w:rPr>
      </w:pPr>
      <w:r>
        <w:rPr>
          <w:noProof/>
          <w:lang w:eastAsia="en-GB"/>
        </w:rPr>
        <w:drawing>
          <wp:inline distT="0" distB="0" distL="0" distR="0" wp14:anchorId="0CBBEC0E" wp14:editId="205B8425">
            <wp:extent cx="5731510" cy="3855501"/>
            <wp:effectExtent l="0" t="0" r="2159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7142" w:rsidRDefault="003D7142" w:rsidP="00B921AC">
      <w:pPr>
        <w:rPr>
          <w:b/>
        </w:rPr>
      </w:pPr>
    </w:p>
    <w:p w:rsidR="000D7FC8" w:rsidRDefault="000D7FC8">
      <w:pPr>
        <w:rPr>
          <w:b/>
          <w:sz w:val="28"/>
          <w:szCs w:val="28"/>
        </w:rPr>
      </w:pPr>
      <w:r>
        <w:rPr>
          <w:b/>
          <w:sz w:val="28"/>
          <w:szCs w:val="28"/>
        </w:rPr>
        <w:br w:type="page"/>
      </w:r>
    </w:p>
    <w:p w:rsidR="003D7142" w:rsidRDefault="003D7142" w:rsidP="00B921AC">
      <w:pPr>
        <w:rPr>
          <w:b/>
          <w:sz w:val="28"/>
          <w:szCs w:val="28"/>
        </w:rPr>
      </w:pPr>
      <w:r w:rsidRPr="003D7142">
        <w:rPr>
          <w:b/>
          <w:sz w:val="28"/>
          <w:szCs w:val="28"/>
        </w:rPr>
        <w:lastRenderedPageBreak/>
        <w:t>Traffic &amp; Transport</w:t>
      </w:r>
    </w:p>
    <w:p w:rsidR="000A1928" w:rsidRDefault="000A1928" w:rsidP="00B921AC">
      <w:pPr>
        <w:rPr>
          <w:b/>
          <w:sz w:val="28"/>
          <w:szCs w:val="28"/>
        </w:rPr>
      </w:pPr>
      <w:r>
        <w:rPr>
          <w:noProof/>
          <w:lang w:eastAsia="en-GB"/>
        </w:rPr>
        <w:drawing>
          <wp:inline distT="0" distB="0" distL="0" distR="0" wp14:anchorId="4FED506A" wp14:editId="5CD0AFC5">
            <wp:extent cx="5772647" cy="3888188"/>
            <wp:effectExtent l="0" t="0" r="19050" b="171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21AC" w:rsidRDefault="00B921AC" w:rsidP="00B921AC">
      <w:pPr>
        <w:rPr>
          <w:b/>
        </w:rPr>
      </w:pPr>
    </w:p>
    <w:p w:rsidR="00B921AC" w:rsidRDefault="0041194B" w:rsidP="00B921AC">
      <w:pPr>
        <w:rPr>
          <w:b/>
        </w:rPr>
      </w:pPr>
      <w:r>
        <w:rPr>
          <w:noProof/>
          <w:lang w:eastAsia="en-GB"/>
        </w:rPr>
        <w:drawing>
          <wp:inline distT="0" distB="0" distL="0" distR="0" wp14:anchorId="2398F174" wp14:editId="1BA7B13E">
            <wp:extent cx="5772647" cy="3649649"/>
            <wp:effectExtent l="0" t="0" r="19050" b="273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194B" w:rsidRDefault="0041194B" w:rsidP="00B921AC">
      <w:pPr>
        <w:rPr>
          <w:b/>
        </w:rPr>
      </w:pPr>
    </w:p>
    <w:p w:rsidR="0041194B" w:rsidRPr="0041194B" w:rsidRDefault="0041194B" w:rsidP="00B921AC">
      <w:pPr>
        <w:rPr>
          <w:b/>
          <w:sz w:val="28"/>
          <w:szCs w:val="28"/>
        </w:rPr>
      </w:pPr>
      <w:r w:rsidRPr="0041194B">
        <w:rPr>
          <w:b/>
          <w:sz w:val="28"/>
          <w:szCs w:val="28"/>
        </w:rPr>
        <w:lastRenderedPageBreak/>
        <w:t>Housing</w:t>
      </w:r>
    </w:p>
    <w:p w:rsidR="0041194B" w:rsidRDefault="0041194B" w:rsidP="00B921AC">
      <w:pPr>
        <w:rPr>
          <w:b/>
        </w:rPr>
      </w:pPr>
      <w:r>
        <w:rPr>
          <w:noProof/>
          <w:lang w:eastAsia="en-GB"/>
        </w:rPr>
        <w:drawing>
          <wp:inline distT="0" distB="0" distL="0" distR="0" wp14:anchorId="3C45D292" wp14:editId="2994D0D0">
            <wp:extent cx="5731510" cy="3591367"/>
            <wp:effectExtent l="0" t="0" r="2159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11AD" w:rsidRDefault="009611AD" w:rsidP="00B921AC">
      <w:pPr>
        <w:rPr>
          <w:b/>
        </w:rPr>
      </w:pPr>
    </w:p>
    <w:p w:rsidR="009611AD" w:rsidRDefault="009611AD" w:rsidP="00B921AC">
      <w:pPr>
        <w:rPr>
          <w:b/>
        </w:rPr>
      </w:pPr>
    </w:p>
    <w:p w:rsidR="0041194B" w:rsidRDefault="0041194B" w:rsidP="00B921AC">
      <w:pPr>
        <w:rPr>
          <w:b/>
        </w:rPr>
      </w:pPr>
    </w:p>
    <w:p w:rsidR="0041194B" w:rsidRDefault="0041194B" w:rsidP="00B921AC">
      <w:pPr>
        <w:rPr>
          <w:b/>
        </w:rPr>
      </w:pPr>
    </w:p>
    <w:p w:rsidR="00460B04" w:rsidRDefault="00460B04">
      <w:pPr>
        <w:rPr>
          <w:b/>
        </w:rPr>
      </w:pPr>
      <w:r>
        <w:rPr>
          <w:b/>
        </w:rPr>
        <w:br w:type="page"/>
      </w:r>
    </w:p>
    <w:p w:rsidR="00B921AC" w:rsidRPr="0041194B" w:rsidRDefault="00B921AC" w:rsidP="00A97201">
      <w:pPr>
        <w:rPr>
          <w:sz w:val="28"/>
          <w:szCs w:val="28"/>
        </w:rPr>
      </w:pPr>
      <w:r w:rsidRPr="0041194B">
        <w:rPr>
          <w:b/>
          <w:sz w:val="28"/>
          <w:szCs w:val="28"/>
        </w:rPr>
        <w:lastRenderedPageBreak/>
        <w:t>Headline Issues - Winyates District Centre</w:t>
      </w:r>
    </w:p>
    <w:p w:rsidR="003C2407" w:rsidRDefault="00F105E4" w:rsidP="00A97201">
      <w:r>
        <w:rPr>
          <w:noProof/>
          <w:lang w:eastAsia="en-GB"/>
        </w:rPr>
        <w:drawing>
          <wp:inline distT="0" distB="0" distL="0" distR="0" wp14:anchorId="0519D8DE" wp14:editId="10144657">
            <wp:extent cx="5731510" cy="4121054"/>
            <wp:effectExtent l="0" t="0" r="2159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21AC" w:rsidRDefault="00B921AC" w:rsidP="00A97201">
      <w:r>
        <w:t xml:space="preserve">In relation to Winyates District Centre, </w:t>
      </w:r>
      <w:r w:rsidR="00085EE6">
        <w:t xml:space="preserve">an overwhelming number of responses related to </w:t>
      </w:r>
      <w:r w:rsidR="00563AD2">
        <w:t xml:space="preserve">the Crime and Safety category (24%) and in particular in relation to </w:t>
      </w:r>
      <w:r w:rsidR="00AC3096">
        <w:t xml:space="preserve">drug taking/ dealing and people feeling unsafe and afraid to go out at night, which </w:t>
      </w:r>
      <w:r w:rsidR="00483D3F">
        <w:t xml:space="preserve">could </w:t>
      </w:r>
      <w:r w:rsidR="00FB5EC3">
        <w:t xml:space="preserve">in part </w:t>
      </w:r>
      <w:r w:rsidR="00483D3F">
        <w:t>be attributed</w:t>
      </w:r>
      <w:r w:rsidR="00AC3096">
        <w:t xml:space="preserve"> to poor lighting</w:t>
      </w:r>
      <w:r w:rsidR="00563AD2">
        <w:t>, which was also identified</w:t>
      </w:r>
      <w:r w:rsidR="00AC3096">
        <w:t>.</w:t>
      </w:r>
    </w:p>
    <w:p w:rsidR="00527C6A" w:rsidRDefault="00085EE6" w:rsidP="00527C6A">
      <w:r>
        <w:t>By way of contrast, t</w:t>
      </w:r>
      <w:r w:rsidR="00527C6A">
        <w:t>here is an overwhelming sense of community within Winyates District Centre, which is underpinned by the number of responses relating to Community Facilities (16%) and Health Facilities (10%). People were generally happy with the District Centre and felt that it didn’t necessarily need demolishing and rebuilding, and they were keen to keep existing facilities such as the Health Centre, The Space and The Link in any plans moving forward.</w:t>
      </w:r>
    </w:p>
    <w:p w:rsidR="00527C6A" w:rsidRDefault="00527C6A" w:rsidP="00527C6A">
      <w:r>
        <w:t>There is a desire to make better use of the green spaces in the District Centre (Local Environment and Leisure) (13% and 9% respectively), which are currently very fragmented. This would underpin the sense of community within the District Centre, which regularly plays host to street theatre/ community events.</w:t>
      </w:r>
    </w:p>
    <w:p w:rsidR="00527C6A" w:rsidRDefault="00527C6A" w:rsidP="00527C6A">
      <w:r>
        <w:t>Housing related issues are more prevalent in Winyates District Centre due to the large number of residential units within the District Centre boundary.</w:t>
      </w:r>
    </w:p>
    <w:p w:rsidR="00563AD2" w:rsidRDefault="00563AD2" w:rsidP="00563AD2">
      <w:r>
        <w:t>The following graphs depict the most frequently placed topic cards, showing all results where at least five cards were placed on the 3D maps. The graphs also depict the locations where topic cards were most frequently placed, which gives a good indication of the locations that need to be considered as concept plans are advanced.</w:t>
      </w:r>
    </w:p>
    <w:p w:rsidR="000D7FC8" w:rsidRDefault="000D7FC8" w:rsidP="00563AD2">
      <w:pPr>
        <w:rPr>
          <w:b/>
          <w:sz w:val="28"/>
          <w:szCs w:val="28"/>
        </w:rPr>
      </w:pPr>
      <w:r w:rsidRPr="000D7FC8">
        <w:rPr>
          <w:b/>
          <w:sz w:val="28"/>
          <w:szCs w:val="28"/>
        </w:rPr>
        <w:lastRenderedPageBreak/>
        <w:t>Local Environment</w:t>
      </w:r>
    </w:p>
    <w:p w:rsidR="000D7FC8" w:rsidRDefault="000D7FC8" w:rsidP="00563AD2">
      <w:pPr>
        <w:rPr>
          <w:b/>
          <w:sz w:val="28"/>
          <w:szCs w:val="28"/>
        </w:rPr>
      </w:pPr>
      <w:r>
        <w:rPr>
          <w:noProof/>
          <w:lang w:eastAsia="en-GB"/>
        </w:rPr>
        <w:drawing>
          <wp:inline distT="0" distB="0" distL="0" distR="0" wp14:anchorId="2E672E12" wp14:editId="29A27605">
            <wp:extent cx="5731510" cy="3263329"/>
            <wp:effectExtent l="0" t="0" r="21590" b="133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D7FC8" w:rsidRDefault="000D7FC8" w:rsidP="00563AD2">
      <w:pPr>
        <w:rPr>
          <w:b/>
          <w:sz w:val="28"/>
          <w:szCs w:val="28"/>
        </w:rPr>
      </w:pPr>
    </w:p>
    <w:p w:rsidR="000D7FC8" w:rsidRPr="000D7FC8" w:rsidRDefault="009264A9" w:rsidP="00563AD2">
      <w:pPr>
        <w:rPr>
          <w:b/>
          <w:sz w:val="28"/>
          <w:szCs w:val="28"/>
        </w:rPr>
      </w:pPr>
      <w:r>
        <w:rPr>
          <w:noProof/>
          <w:lang w:eastAsia="en-GB"/>
        </w:rPr>
        <w:drawing>
          <wp:inline distT="0" distB="0" distL="0" distR="0" wp14:anchorId="6A6D62F0" wp14:editId="01797A8A">
            <wp:extent cx="5731510" cy="3855501"/>
            <wp:effectExtent l="0" t="0" r="21590" b="120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D7FC8" w:rsidRDefault="000D7FC8">
      <w:pPr>
        <w:rPr>
          <w:b/>
          <w:sz w:val="28"/>
          <w:szCs w:val="28"/>
        </w:rPr>
      </w:pPr>
      <w:r>
        <w:rPr>
          <w:b/>
          <w:sz w:val="28"/>
          <w:szCs w:val="28"/>
        </w:rPr>
        <w:br w:type="page"/>
      </w:r>
    </w:p>
    <w:p w:rsidR="00563AD2" w:rsidRPr="000D7FC8" w:rsidRDefault="004A70DC" w:rsidP="00A97201">
      <w:pPr>
        <w:rPr>
          <w:b/>
          <w:sz w:val="28"/>
          <w:szCs w:val="28"/>
        </w:rPr>
      </w:pPr>
      <w:r>
        <w:rPr>
          <w:b/>
          <w:sz w:val="28"/>
          <w:szCs w:val="28"/>
        </w:rPr>
        <w:lastRenderedPageBreak/>
        <w:t>Leisure</w:t>
      </w:r>
    </w:p>
    <w:p w:rsidR="004A70DC" w:rsidRDefault="004A70DC">
      <w:pPr>
        <w:rPr>
          <w:b/>
          <w:sz w:val="28"/>
          <w:szCs w:val="28"/>
        </w:rPr>
      </w:pPr>
      <w:r>
        <w:rPr>
          <w:noProof/>
          <w:lang w:eastAsia="en-GB"/>
        </w:rPr>
        <w:drawing>
          <wp:inline distT="0" distB="0" distL="0" distR="0" wp14:anchorId="139C0012" wp14:editId="4E41EB37">
            <wp:extent cx="5645426" cy="3291840"/>
            <wp:effectExtent l="0" t="0" r="12700" b="228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7FC8" w:rsidRDefault="000D7FC8">
      <w:pPr>
        <w:rPr>
          <w:b/>
          <w:sz w:val="28"/>
          <w:szCs w:val="28"/>
        </w:rPr>
      </w:pPr>
      <w:r>
        <w:rPr>
          <w:b/>
          <w:sz w:val="28"/>
          <w:szCs w:val="28"/>
        </w:rPr>
        <w:br w:type="page"/>
      </w:r>
    </w:p>
    <w:p w:rsidR="000D7FC8" w:rsidRPr="000D7FC8" w:rsidRDefault="000D7FC8" w:rsidP="00A97201">
      <w:pPr>
        <w:rPr>
          <w:b/>
          <w:sz w:val="28"/>
          <w:szCs w:val="28"/>
        </w:rPr>
      </w:pPr>
      <w:r w:rsidRPr="000D7FC8">
        <w:rPr>
          <w:b/>
          <w:sz w:val="28"/>
          <w:szCs w:val="28"/>
        </w:rPr>
        <w:lastRenderedPageBreak/>
        <w:t>Crime &amp; Safety</w:t>
      </w:r>
    </w:p>
    <w:p w:rsidR="00AC3096" w:rsidRDefault="00AC3096" w:rsidP="00A97201">
      <w:r>
        <w:rPr>
          <w:noProof/>
          <w:lang w:eastAsia="en-GB"/>
        </w:rPr>
        <w:drawing>
          <wp:inline distT="0" distB="0" distL="0" distR="0" wp14:anchorId="56CFC823" wp14:editId="6ACE39B3">
            <wp:extent cx="5852160" cy="3498574"/>
            <wp:effectExtent l="0" t="0" r="1524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2912" w:rsidRDefault="001D2912" w:rsidP="00A97201"/>
    <w:p w:rsidR="001D2912" w:rsidRDefault="009264A9" w:rsidP="00A97201">
      <w:r>
        <w:rPr>
          <w:noProof/>
          <w:lang w:eastAsia="en-GB"/>
        </w:rPr>
        <w:drawing>
          <wp:inline distT="0" distB="0" distL="0" distR="0" wp14:anchorId="5B5F6EAB" wp14:editId="77256C10">
            <wp:extent cx="5731510" cy="3644385"/>
            <wp:effectExtent l="0" t="0" r="21590" b="133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2912" w:rsidRDefault="001D2912">
      <w:pPr>
        <w:rPr>
          <w:b/>
          <w:sz w:val="28"/>
          <w:szCs w:val="28"/>
        </w:rPr>
      </w:pPr>
      <w:r>
        <w:rPr>
          <w:b/>
          <w:sz w:val="28"/>
          <w:szCs w:val="28"/>
        </w:rPr>
        <w:br w:type="page"/>
      </w:r>
    </w:p>
    <w:p w:rsidR="001D2912" w:rsidRDefault="001D2912" w:rsidP="00A97201">
      <w:pPr>
        <w:rPr>
          <w:b/>
          <w:sz w:val="28"/>
          <w:szCs w:val="28"/>
        </w:rPr>
      </w:pPr>
      <w:r w:rsidRPr="001D2912">
        <w:rPr>
          <w:b/>
          <w:sz w:val="28"/>
          <w:szCs w:val="28"/>
        </w:rPr>
        <w:lastRenderedPageBreak/>
        <w:t>Community Facilities</w:t>
      </w:r>
    </w:p>
    <w:p w:rsidR="001D2912" w:rsidRDefault="007C1747" w:rsidP="00A97201">
      <w:pPr>
        <w:rPr>
          <w:b/>
          <w:sz w:val="28"/>
          <w:szCs w:val="28"/>
        </w:rPr>
      </w:pPr>
      <w:r>
        <w:rPr>
          <w:noProof/>
          <w:lang w:eastAsia="en-GB"/>
        </w:rPr>
        <w:drawing>
          <wp:inline distT="0" distB="0" distL="0" distR="0" wp14:anchorId="3CB37066" wp14:editId="62647284">
            <wp:extent cx="5731510" cy="3654450"/>
            <wp:effectExtent l="0" t="0" r="21590" b="222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1747" w:rsidRDefault="007C1747" w:rsidP="00A97201">
      <w:pPr>
        <w:rPr>
          <w:b/>
          <w:sz w:val="28"/>
          <w:szCs w:val="28"/>
        </w:rPr>
      </w:pPr>
    </w:p>
    <w:p w:rsidR="007C1747" w:rsidRDefault="009264A9" w:rsidP="00A97201">
      <w:pPr>
        <w:rPr>
          <w:b/>
          <w:sz w:val="28"/>
          <w:szCs w:val="28"/>
        </w:rPr>
      </w:pPr>
      <w:r>
        <w:rPr>
          <w:noProof/>
          <w:lang w:eastAsia="en-GB"/>
        </w:rPr>
        <w:drawing>
          <wp:inline distT="0" distB="0" distL="0" distR="0" wp14:anchorId="0D0DF407" wp14:editId="6B5761B2">
            <wp:extent cx="5731510" cy="3503295"/>
            <wp:effectExtent l="0" t="0" r="21590" b="2095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1747" w:rsidRDefault="007C1747" w:rsidP="00A97201">
      <w:pPr>
        <w:rPr>
          <w:b/>
          <w:sz w:val="28"/>
          <w:szCs w:val="28"/>
        </w:rPr>
      </w:pPr>
    </w:p>
    <w:p w:rsidR="007C1747" w:rsidRDefault="007C1747">
      <w:pPr>
        <w:rPr>
          <w:b/>
          <w:sz w:val="28"/>
          <w:szCs w:val="28"/>
        </w:rPr>
      </w:pPr>
      <w:r>
        <w:rPr>
          <w:b/>
          <w:sz w:val="28"/>
          <w:szCs w:val="28"/>
        </w:rPr>
        <w:br w:type="page"/>
      </w:r>
    </w:p>
    <w:p w:rsidR="007C1747" w:rsidRDefault="007C1747" w:rsidP="00A97201">
      <w:pPr>
        <w:rPr>
          <w:b/>
          <w:sz w:val="28"/>
          <w:szCs w:val="28"/>
        </w:rPr>
      </w:pPr>
      <w:r>
        <w:rPr>
          <w:b/>
          <w:sz w:val="28"/>
          <w:szCs w:val="28"/>
        </w:rPr>
        <w:lastRenderedPageBreak/>
        <w:t>Traffic &amp; Transport</w:t>
      </w:r>
    </w:p>
    <w:p w:rsidR="007C1747" w:rsidRDefault="009E4418" w:rsidP="00A97201">
      <w:pPr>
        <w:rPr>
          <w:b/>
          <w:sz w:val="28"/>
          <w:szCs w:val="28"/>
        </w:rPr>
      </w:pPr>
      <w:r>
        <w:rPr>
          <w:noProof/>
          <w:lang w:eastAsia="en-GB"/>
        </w:rPr>
        <w:drawing>
          <wp:inline distT="0" distB="0" distL="0" distR="0" wp14:anchorId="53260D3D" wp14:editId="4A3FC0C6">
            <wp:extent cx="5534025" cy="3662363"/>
            <wp:effectExtent l="0" t="0" r="9525"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E4418" w:rsidRDefault="009E4418" w:rsidP="00A97201">
      <w:pPr>
        <w:rPr>
          <w:b/>
          <w:sz w:val="28"/>
          <w:szCs w:val="28"/>
        </w:rPr>
      </w:pPr>
    </w:p>
    <w:p w:rsidR="009E4418" w:rsidRDefault="009E4418" w:rsidP="00A97201">
      <w:pPr>
        <w:rPr>
          <w:b/>
          <w:sz w:val="28"/>
          <w:szCs w:val="28"/>
        </w:rPr>
      </w:pPr>
      <w:r>
        <w:rPr>
          <w:noProof/>
          <w:lang w:eastAsia="en-GB"/>
        </w:rPr>
        <w:drawing>
          <wp:inline distT="0" distB="0" distL="0" distR="0" wp14:anchorId="349B2B6A" wp14:editId="29487F8B">
            <wp:extent cx="5495925" cy="3519488"/>
            <wp:effectExtent l="0" t="0" r="9525" b="241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1E51" w:rsidRDefault="00BD1E51">
      <w:pPr>
        <w:rPr>
          <w:b/>
          <w:sz w:val="28"/>
          <w:szCs w:val="28"/>
        </w:rPr>
      </w:pPr>
      <w:r>
        <w:rPr>
          <w:b/>
          <w:sz w:val="28"/>
          <w:szCs w:val="28"/>
        </w:rPr>
        <w:br w:type="page"/>
      </w:r>
    </w:p>
    <w:p w:rsidR="00BD1E51" w:rsidRDefault="00BD1E51" w:rsidP="00A97201">
      <w:pPr>
        <w:rPr>
          <w:b/>
          <w:sz w:val="28"/>
          <w:szCs w:val="28"/>
        </w:rPr>
      </w:pPr>
      <w:r>
        <w:rPr>
          <w:b/>
          <w:sz w:val="28"/>
          <w:szCs w:val="28"/>
        </w:rPr>
        <w:lastRenderedPageBreak/>
        <w:t>Housing</w:t>
      </w:r>
    </w:p>
    <w:p w:rsidR="009611AD" w:rsidRDefault="009611AD" w:rsidP="00A97201">
      <w:pPr>
        <w:rPr>
          <w:b/>
          <w:sz w:val="28"/>
          <w:szCs w:val="28"/>
        </w:rPr>
      </w:pPr>
      <w:r>
        <w:rPr>
          <w:noProof/>
          <w:lang w:eastAsia="en-GB"/>
        </w:rPr>
        <w:drawing>
          <wp:inline distT="0" distB="0" distL="0" distR="0" wp14:anchorId="2156DD58" wp14:editId="7E4E8F2B">
            <wp:extent cx="5715000" cy="3757613"/>
            <wp:effectExtent l="0" t="0" r="19050" b="1460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11AD" w:rsidRDefault="009611AD" w:rsidP="00A97201">
      <w:pPr>
        <w:rPr>
          <w:b/>
          <w:sz w:val="28"/>
          <w:szCs w:val="28"/>
        </w:rPr>
      </w:pPr>
    </w:p>
    <w:p w:rsidR="009611AD" w:rsidRPr="001D2912" w:rsidRDefault="00B66BA6" w:rsidP="00A97201">
      <w:pPr>
        <w:rPr>
          <w:b/>
          <w:sz w:val="28"/>
          <w:szCs w:val="28"/>
        </w:rPr>
      </w:pPr>
      <w:r>
        <w:rPr>
          <w:noProof/>
          <w:lang w:eastAsia="en-GB"/>
        </w:rPr>
        <w:drawing>
          <wp:inline distT="0" distB="0" distL="0" distR="0" wp14:anchorId="4EAF7274" wp14:editId="3BC6AE39">
            <wp:extent cx="5716988" cy="3578087"/>
            <wp:effectExtent l="0" t="0" r="17145" b="2286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0" w:name="_GoBack"/>
      <w:bookmarkEnd w:id="0"/>
    </w:p>
    <w:sectPr w:rsidR="009611AD" w:rsidRPr="001D2912" w:rsidSect="000D7FC8">
      <w:footerReference w:type="default" r:id="rId3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13" w:rsidRDefault="00314E13" w:rsidP="00314E13">
      <w:pPr>
        <w:spacing w:after="0" w:line="240" w:lineRule="auto"/>
      </w:pPr>
      <w:r>
        <w:separator/>
      </w:r>
    </w:p>
  </w:endnote>
  <w:endnote w:type="continuationSeparator" w:id="0">
    <w:p w:rsidR="00314E13" w:rsidRDefault="00314E13" w:rsidP="0031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6974"/>
      <w:docPartObj>
        <w:docPartGallery w:val="Page Numbers (Bottom of Page)"/>
        <w:docPartUnique/>
      </w:docPartObj>
    </w:sdtPr>
    <w:sdtEndPr>
      <w:rPr>
        <w:noProof/>
      </w:rPr>
    </w:sdtEndPr>
    <w:sdtContent>
      <w:p w:rsidR="00314E13" w:rsidRDefault="00314E13">
        <w:pPr>
          <w:pStyle w:val="Footer"/>
          <w:jc w:val="center"/>
        </w:pPr>
        <w:r>
          <w:fldChar w:fldCharType="begin"/>
        </w:r>
        <w:r>
          <w:instrText xml:space="preserve"> PAGE   \* MERGEFORMAT </w:instrText>
        </w:r>
        <w:r>
          <w:fldChar w:fldCharType="separate"/>
        </w:r>
        <w:r w:rsidR="00B66BA6">
          <w:rPr>
            <w:noProof/>
          </w:rPr>
          <w:t>16</w:t>
        </w:r>
        <w:r>
          <w:rPr>
            <w:noProof/>
          </w:rPr>
          <w:fldChar w:fldCharType="end"/>
        </w:r>
      </w:p>
    </w:sdtContent>
  </w:sdt>
  <w:p w:rsidR="00314E13" w:rsidRDefault="00314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13" w:rsidRDefault="00314E13" w:rsidP="00314E13">
      <w:pPr>
        <w:spacing w:after="0" w:line="240" w:lineRule="auto"/>
      </w:pPr>
      <w:r>
        <w:separator/>
      </w:r>
    </w:p>
  </w:footnote>
  <w:footnote w:type="continuationSeparator" w:id="0">
    <w:p w:rsidR="00314E13" w:rsidRDefault="00314E13" w:rsidP="00314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82"/>
    <w:rsid w:val="00024F66"/>
    <w:rsid w:val="00085EE6"/>
    <w:rsid w:val="00095189"/>
    <w:rsid w:val="000A1928"/>
    <w:rsid w:val="000D7FC8"/>
    <w:rsid w:val="00186B1B"/>
    <w:rsid w:val="001978D2"/>
    <w:rsid w:val="001D2912"/>
    <w:rsid w:val="003064FF"/>
    <w:rsid w:val="00314E13"/>
    <w:rsid w:val="00321A1D"/>
    <w:rsid w:val="003C2407"/>
    <w:rsid w:val="003D7142"/>
    <w:rsid w:val="0041194B"/>
    <w:rsid w:val="00460B04"/>
    <w:rsid w:val="00483D3F"/>
    <w:rsid w:val="004A70DC"/>
    <w:rsid w:val="00523F41"/>
    <w:rsid w:val="00527C6A"/>
    <w:rsid w:val="00563AD2"/>
    <w:rsid w:val="0061253F"/>
    <w:rsid w:val="00615982"/>
    <w:rsid w:val="00657667"/>
    <w:rsid w:val="006C6D82"/>
    <w:rsid w:val="007852E7"/>
    <w:rsid w:val="007C1747"/>
    <w:rsid w:val="008430BA"/>
    <w:rsid w:val="00893B3B"/>
    <w:rsid w:val="008A4109"/>
    <w:rsid w:val="008A4E0E"/>
    <w:rsid w:val="009264A9"/>
    <w:rsid w:val="009266BB"/>
    <w:rsid w:val="009611AD"/>
    <w:rsid w:val="009E4418"/>
    <w:rsid w:val="00A207AC"/>
    <w:rsid w:val="00A337EC"/>
    <w:rsid w:val="00A62B14"/>
    <w:rsid w:val="00A97201"/>
    <w:rsid w:val="00AC3096"/>
    <w:rsid w:val="00B66BA6"/>
    <w:rsid w:val="00B921AC"/>
    <w:rsid w:val="00BD1E51"/>
    <w:rsid w:val="00BF0CBC"/>
    <w:rsid w:val="00BF4670"/>
    <w:rsid w:val="00C607BD"/>
    <w:rsid w:val="00C6211F"/>
    <w:rsid w:val="00D756EC"/>
    <w:rsid w:val="00DB552B"/>
    <w:rsid w:val="00F105E4"/>
    <w:rsid w:val="00FB5EC3"/>
    <w:rsid w:val="00FF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07"/>
    <w:rPr>
      <w:rFonts w:ascii="Tahoma" w:hAnsi="Tahoma" w:cs="Tahoma"/>
      <w:sz w:val="16"/>
      <w:szCs w:val="16"/>
    </w:rPr>
  </w:style>
  <w:style w:type="paragraph" w:styleId="Header">
    <w:name w:val="header"/>
    <w:basedOn w:val="Normal"/>
    <w:link w:val="HeaderChar"/>
    <w:uiPriority w:val="99"/>
    <w:unhideWhenUsed/>
    <w:rsid w:val="00314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13"/>
  </w:style>
  <w:style w:type="paragraph" w:styleId="Footer">
    <w:name w:val="footer"/>
    <w:basedOn w:val="Normal"/>
    <w:link w:val="FooterChar"/>
    <w:uiPriority w:val="99"/>
    <w:unhideWhenUsed/>
    <w:rsid w:val="00314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07"/>
    <w:rPr>
      <w:rFonts w:ascii="Tahoma" w:hAnsi="Tahoma" w:cs="Tahoma"/>
      <w:sz w:val="16"/>
      <w:szCs w:val="16"/>
    </w:rPr>
  </w:style>
  <w:style w:type="paragraph" w:styleId="Header">
    <w:name w:val="header"/>
    <w:basedOn w:val="Normal"/>
    <w:link w:val="HeaderChar"/>
    <w:uiPriority w:val="99"/>
    <w:unhideWhenUsed/>
    <w:rsid w:val="00314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13"/>
  </w:style>
  <w:style w:type="paragraph" w:styleId="Footer">
    <w:name w:val="footer"/>
    <w:basedOn w:val="Normal"/>
    <w:link w:val="FooterChar"/>
    <w:uiPriority w:val="99"/>
    <w:unhideWhenUsed/>
    <w:rsid w:val="00314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son.grimmett\Desktop\WAH%20Matchborough%20DC%20Consultation%20-%20combin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lison.grimmett\Desktop\WAH%20Winyates%20DC%20Consultation%20-%20combin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lison.grimmett\Desktop\WAH%20Winyates%20DC%20Consultation%20-%20combine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Winyates%20DC\Winyates%20DC%20Consultation%20-%20combin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lison.grimmett\Desktop\WAH%20Matchborough%20DC%20Consultation%20-%20combin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vnfs001\EnvPlan\Planning\DEVELOPMENT%20PLANS\Working%20folders%20and%20Archived%20Dev%20Plans%20Documents\P379b%20-%20District%20Centres\Matchborough%20DC\Matchborough%20DC%20Consultation%20-%20combin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Total responses by category</a:t>
            </a:r>
            <a:endParaRPr lang="en-GB" sz="1400">
              <a:effectLst/>
            </a:endParaRPr>
          </a:p>
        </c:rich>
      </c:tx>
      <c:layout>
        <c:manualLayout>
          <c:xMode val="edge"/>
          <c:yMode val="edge"/>
          <c:x val="0.17138424075815165"/>
          <c:y val="4.925350161613052E-2"/>
        </c:manualLayout>
      </c:layout>
      <c:overlay val="0"/>
    </c:title>
    <c:autoTitleDeleted val="0"/>
    <c:plotArea>
      <c:layout/>
      <c:pieChart>
        <c:varyColors val="1"/>
        <c:ser>
          <c:idx val="0"/>
          <c:order val="0"/>
          <c:dPt>
            <c:idx val="0"/>
            <c:bubble3D val="0"/>
            <c:spPr>
              <a:solidFill>
                <a:srgbClr val="0070C0"/>
              </a:solidFill>
            </c:spPr>
          </c:dPt>
          <c:dPt>
            <c:idx val="1"/>
            <c:bubble3D val="0"/>
            <c:spPr>
              <a:solidFill>
                <a:srgbClr val="00B050"/>
              </a:solidFill>
            </c:spPr>
          </c:dPt>
          <c:dPt>
            <c:idx val="2"/>
            <c:bubble3D val="0"/>
            <c:spPr>
              <a:solidFill>
                <a:schemeClr val="bg1">
                  <a:lumMod val="65000"/>
                </a:schemeClr>
              </a:solidFill>
            </c:spPr>
          </c:dPt>
          <c:dPt>
            <c:idx val="3"/>
            <c:bubble3D val="0"/>
            <c:spPr>
              <a:solidFill>
                <a:srgbClr val="99FF66"/>
              </a:solidFill>
            </c:spPr>
          </c:dPt>
          <c:dPt>
            <c:idx val="4"/>
            <c:bubble3D val="0"/>
            <c:spPr>
              <a:solidFill>
                <a:srgbClr val="FF6600"/>
              </a:solidFill>
            </c:spPr>
          </c:dPt>
          <c:dPt>
            <c:idx val="5"/>
            <c:bubble3D val="0"/>
            <c:spPr>
              <a:solidFill>
                <a:srgbClr val="FF6699"/>
              </a:solidFill>
            </c:spPr>
          </c:dPt>
          <c:dPt>
            <c:idx val="6"/>
            <c:bubble3D val="0"/>
            <c:spPr>
              <a:solidFill>
                <a:srgbClr val="FF0000"/>
              </a:solidFill>
            </c:spPr>
          </c:dPt>
          <c:dPt>
            <c:idx val="7"/>
            <c:bubble3D val="0"/>
            <c:spPr>
              <a:solidFill>
                <a:srgbClr val="FFFF00"/>
              </a:solidFill>
            </c:spPr>
          </c:dPt>
          <c:dLbls>
            <c:showLegendKey val="0"/>
            <c:showVal val="0"/>
            <c:showCatName val="0"/>
            <c:showSerName val="0"/>
            <c:showPercent val="1"/>
            <c:showBubbleSize val="0"/>
            <c:showLeaderLines val="1"/>
          </c:dLbls>
          <c:cat>
            <c:strRef>
              <c:f>Charts!$A$1:$A$8</c:f>
              <c:strCache>
                <c:ptCount val="8"/>
                <c:pt idx="0">
                  <c:v>Work, Training, Education</c:v>
                </c:pt>
                <c:pt idx="1">
                  <c:v>Local Environment</c:v>
                </c:pt>
                <c:pt idx="2">
                  <c:v>Health</c:v>
                </c:pt>
                <c:pt idx="3">
                  <c:v>Leisure</c:v>
                </c:pt>
                <c:pt idx="4">
                  <c:v>Crime &amp; Safety</c:v>
                </c:pt>
                <c:pt idx="5">
                  <c:v>Community Facilities</c:v>
                </c:pt>
                <c:pt idx="6">
                  <c:v>Traffic &amp; Transport</c:v>
                </c:pt>
                <c:pt idx="7">
                  <c:v>Housing</c:v>
                </c:pt>
              </c:strCache>
            </c:strRef>
          </c:cat>
          <c:val>
            <c:numRef>
              <c:f>Charts!$B$1:$B$8</c:f>
              <c:numCache>
                <c:formatCode>General</c:formatCode>
                <c:ptCount val="8"/>
                <c:pt idx="0">
                  <c:v>47</c:v>
                </c:pt>
                <c:pt idx="1">
                  <c:v>325</c:v>
                </c:pt>
                <c:pt idx="2">
                  <c:v>118</c:v>
                </c:pt>
                <c:pt idx="3">
                  <c:v>233</c:v>
                </c:pt>
                <c:pt idx="4">
                  <c:v>295</c:v>
                </c:pt>
                <c:pt idx="5">
                  <c:v>150</c:v>
                </c:pt>
                <c:pt idx="6">
                  <c:v>151</c:v>
                </c:pt>
                <c:pt idx="7">
                  <c:v>76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Traffic &amp; Transport - Overall Key Issues</a:t>
            </a:r>
            <a:endParaRPr lang="en-GB" sz="1400">
              <a:effectLst/>
            </a:endParaRPr>
          </a:p>
        </c:rich>
      </c:tx>
      <c:layout/>
      <c:overlay val="0"/>
    </c:title>
    <c:autoTitleDeleted val="0"/>
    <c:plotArea>
      <c:layout/>
      <c:barChart>
        <c:barDir val="col"/>
        <c:grouping val="clustered"/>
        <c:varyColors val="0"/>
        <c:ser>
          <c:idx val="0"/>
          <c:order val="0"/>
          <c:spPr>
            <a:solidFill>
              <a:srgbClr val="FF0000"/>
            </a:solidFill>
          </c:spPr>
          <c:invertIfNegative val="0"/>
          <c:cat>
            <c:strRef>
              <c:f>'R'!$C$95:$C$102</c:f>
              <c:strCache>
                <c:ptCount val="8"/>
                <c:pt idx="0">
                  <c:v>Parking issues</c:v>
                </c:pt>
                <c:pt idx="1">
                  <c:v>Traffic calming needed</c:v>
                </c:pt>
                <c:pt idx="2">
                  <c:v>Bus service needs improving</c:v>
                </c:pt>
                <c:pt idx="3">
                  <c:v>Open up bus route</c:v>
                </c:pt>
                <c:pt idx="4">
                  <c:v>Do not open up bus route</c:v>
                </c:pt>
                <c:pt idx="5">
                  <c:v>Zebra crossing</c:v>
                </c:pt>
                <c:pt idx="6">
                  <c:v>Cycle lanes</c:v>
                </c:pt>
                <c:pt idx="7">
                  <c:v>Traffic lights</c:v>
                </c:pt>
              </c:strCache>
            </c:strRef>
          </c:cat>
          <c:val>
            <c:numRef>
              <c:f>'R'!$D$95:$D$102</c:f>
              <c:numCache>
                <c:formatCode>General</c:formatCode>
                <c:ptCount val="8"/>
                <c:pt idx="0">
                  <c:v>33</c:v>
                </c:pt>
                <c:pt idx="1">
                  <c:v>24</c:v>
                </c:pt>
                <c:pt idx="2">
                  <c:v>16</c:v>
                </c:pt>
                <c:pt idx="3">
                  <c:v>12</c:v>
                </c:pt>
                <c:pt idx="4">
                  <c:v>10</c:v>
                </c:pt>
                <c:pt idx="5">
                  <c:v>9</c:v>
                </c:pt>
                <c:pt idx="6">
                  <c:v>8</c:v>
                </c:pt>
                <c:pt idx="7">
                  <c:v>5</c:v>
                </c:pt>
              </c:numCache>
            </c:numRef>
          </c:val>
        </c:ser>
        <c:dLbls>
          <c:showLegendKey val="0"/>
          <c:showVal val="0"/>
          <c:showCatName val="0"/>
          <c:showSerName val="0"/>
          <c:showPercent val="0"/>
          <c:showBubbleSize val="0"/>
        </c:dLbls>
        <c:gapWidth val="150"/>
        <c:axId val="80472704"/>
        <c:axId val="80474496"/>
      </c:barChart>
      <c:catAx>
        <c:axId val="80472704"/>
        <c:scaling>
          <c:orientation val="minMax"/>
        </c:scaling>
        <c:delete val="0"/>
        <c:axPos val="b"/>
        <c:majorTickMark val="none"/>
        <c:minorTickMark val="none"/>
        <c:tickLblPos val="nextTo"/>
        <c:crossAx val="80474496"/>
        <c:crosses val="autoZero"/>
        <c:auto val="1"/>
        <c:lblAlgn val="ctr"/>
        <c:lblOffset val="100"/>
        <c:noMultiLvlLbl val="0"/>
      </c:catAx>
      <c:valAx>
        <c:axId val="80474496"/>
        <c:scaling>
          <c:orientation val="minMax"/>
        </c:scaling>
        <c:delete val="0"/>
        <c:axPos val="l"/>
        <c:majorGridlines/>
        <c:numFmt formatCode="General" sourceLinked="1"/>
        <c:majorTickMark val="none"/>
        <c:minorTickMark val="none"/>
        <c:tickLblPos val="nextTo"/>
        <c:crossAx val="8047270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Traffic &amp; Transport - Overall Key Locations</a:t>
            </a:r>
            <a:endParaRPr lang="en-GB" sz="1400">
              <a:effectLst/>
            </a:endParaRPr>
          </a:p>
        </c:rich>
      </c:tx>
      <c:layout/>
      <c:overlay val="0"/>
    </c:title>
    <c:autoTitleDeleted val="0"/>
    <c:plotArea>
      <c:layout>
        <c:manualLayout>
          <c:layoutTarget val="inner"/>
          <c:xMode val="edge"/>
          <c:yMode val="edge"/>
          <c:x val="7.0961346137889167E-2"/>
          <c:y val="0.18890732446507524"/>
          <c:w val="0.90685340705124007"/>
          <c:h val="0.72391100320742485"/>
        </c:manualLayout>
      </c:layout>
      <c:barChart>
        <c:barDir val="col"/>
        <c:grouping val="clustered"/>
        <c:varyColors val="0"/>
        <c:ser>
          <c:idx val="0"/>
          <c:order val="0"/>
          <c:spPr>
            <a:solidFill>
              <a:srgbClr val="FF0000"/>
            </a:solidFill>
          </c:spPr>
          <c:invertIfNegative val="0"/>
          <c:cat>
            <c:strRef>
              <c:f>'R'!$C$110:$C$113</c:f>
              <c:strCache>
                <c:ptCount val="4"/>
                <c:pt idx="0">
                  <c:v>Bus route</c:v>
                </c:pt>
                <c:pt idx="1">
                  <c:v>Car parks</c:v>
                </c:pt>
                <c:pt idx="2">
                  <c:v>Millhill Road</c:v>
                </c:pt>
                <c:pt idx="3">
                  <c:v>Green Sward Lane</c:v>
                </c:pt>
              </c:strCache>
            </c:strRef>
          </c:cat>
          <c:val>
            <c:numRef>
              <c:f>'R'!$D$110:$D$113</c:f>
              <c:numCache>
                <c:formatCode>General</c:formatCode>
                <c:ptCount val="4"/>
                <c:pt idx="0">
                  <c:v>86</c:v>
                </c:pt>
                <c:pt idx="1">
                  <c:v>23</c:v>
                </c:pt>
                <c:pt idx="2">
                  <c:v>6</c:v>
                </c:pt>
                <c:pt idx="3">
                  <c:v>5</c:v>
                </c:pt>
              </c:numCache>
            </c:numRef>
          </c:val>
        </c:ser>
        <c:dLbls>
          <c:showLegendKey val="0"/>
          <c:showVal val="0"/>
          <c:showCatName val="0"/>
          <c:showSerName val="0"/>
          <c:showPercent val="0"/>
          <c:showBubbleSize val="0"/>
        </c:dLbls>
        <c:gapWidth val="150"/>
        <c:axId val="80826752"/>
        <c:axId val="80828288"/>
      </c:barChart>
      <c:catAx>
        <c:axId val="80826752"/>
        <c:scaling>
          <c:orientation val="minMax"/>
        </c:scaling>
        <c:delete val="0"/>
        <c:axPos val="b"/>
        <c:majorTickMark val="none"/>
        <c:minorTickMark val="none"/>
        <c:tickLblPos val="nextTo"/>
        <c:crossAx val="80828288"/>
        <c:crosses val="autoZero"/>
        <c:auto val="1"/>
        <c:lblAlgn val="ctr"/>
        <c:lblOffset val="100"/>
        <c:noMultiLvlLbl val="0"/>
      </c:catAx>
      <c:valAx>
        <c:axId val="80828288"/>
        <c:scaling>
          <c:orientation val="minMax"/>
        </c:scaling>
        <c:delete val="0"/>
        <c:axPos val="l"/>
        <c:majorGridlines/>
        <c:numFmt formatCode="General" sourceLinked="1"/>
        <c:majorTickMark val="none"/>
        <c:minorTickMark val="none"/>
        <c:tickLblPos val="nextTo"/>
        <c:crossAx val="8082675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Housing - Overall Key Issues</a:t>
            </a:r>
            <a:endParaRPr lang="en-GB" sz="1400">
              <a:effectLst/>
            </a:endParaRPr>
          </a:p>
        </c:rich>
      </c:tx>
      <c:layout/>
      <c:overlay val="0"/>
    </c:title>
    <c:autoTitleDeleted val="0"/>
    <c:plotArea>
      <c:layout/>
      <c:barChart>
        <c:barDir val="col"/>
        <c:grouping val="clustered"/>
        <c:varyColors val="0"/>
        <c:ser>
          <c:idx val="0"/>
          <c:order val="0"/>
          <c:spPr>
            <a:solidFill>
              <a:srgbClr val="FFFF00"/>
            </a:solidFill>
          </c:spPr>
          <c:invertIfNegative val="0"/>
          <c:cat>
            <c:strRef>
              <c:f>Y!$C$71:$C$75</c:f>
              <c:strCache>
                <c:ptCount val="5"/>
                <c:pt idx="0">
                  <c:v>Pest control</c:v>
                </c:pt>
                <c:pt idx="1">
                  <c:v>Drainage needs improving</c:v>
                </c:pt>
                <c:pt idx="2">
                  <c:v>Housing for families needed</c:v>
                </c:pt>
                <c:pt idx="3">
                  <c:v>Housing suitable for disabled people</c:v>
                </c:pt>
                <c:pt idx="4">
                  <c:v>Housing for elderly people needed</c:v>
                </c:pt>
              </c:strCache>
            </c:strRef>
          </c:cat>
          <c:val>
            <c:numRef>
              <c:f>Y!$D$71:$D$75</c:f>
              <c:numCache>
                <c:formatCode>General</c:formatCode>
                <c:ptCount val="5"/>
                <c:pt idx="0">
                  <c:v>15</c:v>
                </c:pt>
                <c:pt idx="1">
                  <c:v>9</c:v>
                </c:pt>
                <c:pt idx="2">
                  <c:v>7</c:v>
                </c:pt>
                <c:pt idx="3">
                  <c:v>7</c:v>
                </c:pt>
                <c:pt idx="4">
                  <c:v>5</c:v>
                </c:pt>
              </c:numCache>
            </c:numRef>
          </c:val>
        </c:ser>
        <c:dLbls>
          <c:showLegendKey val="0"/>
          <c:showVal val="0"/>
          <c:showCatName val="0"/>
          <c:showSerName val="0"/>
          <c:showPercent val="0"/>
          <c:showBubbleSize val="0"/>
        </c:dLbls>
        <c:gapWidth val="150"/>
        <c:axId val="80848768"/>
        <c:axId val="80850304"/>
      </c:barChart>
      <c:catAx>
        <c:axId val="80848768"/>
        <c:scaling>
          <c:orientation val="minMax"/>
        </c:scaling>
        <c:delete val="0"/>
        <c:axPos val="b"/>
        <c:majorTickMark val="none"/>
        <c:minorTickMark val="none"/>
        <c:tickLblPos val="nextTo"/>
        <c:crossAx val="80850304"/>
        <c:crosses val="autoZero"/>
        <c:auto val="1"/>
        <c:lblAlgn val="ctr"/>
        <c:lblOffset val="100"/>
        <c:noMultiLvlLbl val="0"/>
      </c:catAx>
      <c:valAx>
        <c:axId val="80850304"/>
        <c:scaling>
          <c:orientation val="minMax"/>
        </c:scaling>
        <c:delete val="0"/>
        <c:axPos val="l"/>
        <c:majorGridlines/>
        <c:numFmt formatCode="General" sourceLinked="1"/>
        <c:majorTickMark val="none"/>
        <c:minorTickMark val="none"/>
        <c:tickLblPos val="nextTo"/>
        <c:crossAx val="8084876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Winyates District Centre</a:t>
            </a:r>
          </a:p>
          <a:p>
            <a:pPr>
              <a:defRPr/>
            </a:pPr>
            <a:r>
              <a:rPr lang="en-US" sz="1400"/>
              <a:t>Total responses by category</a:t>
            </a:r>
          </a:p>
        </c:rich>
      </c:tx>
      <c:layout>
        <c:manualLayout>
          <c:xMode val="edge"/>
          <c:yMode val="edge"/>
          <c:x val="0.18335673630577248"/>
          <c:y val="4.3112086717315673E-2"/>
        </c:manualLayout>
      </c:layout>
      <c:overlay val="0"/>
    </c:title>
    <c:autoTitleDeleted val="0"/>
    <c:plotArea>
      <c:layout/>
      <c:pieChart>
        <c:varyColors val="1"/>
        <c:ser>
          <c:idx val="0"/>
          <c:order val="0"/>
          <c:dPt>
            <c:idx val="0"/>
            <c:bubble3D val="0"/>
            <c:spPr>
              <a:solidFill>
                <a:srgbClr val="0070C0"/>
              </a:solidFill>
            </c:spPr>
          </c:dPt>
          <c:dPt>
            <c:idx val="1"/>
            <c:bubble3D val="0"/>
            <c:spPr>
              <a:solidFill>
                <a:srgbClr val="00B050"/>
              </a:solidFill>
            </c:spPr>
          </c:dPt>
          <c:dPt>
            <c:idx val="2"/>
            <c:bubble3D val="0"/>
            <c:spPr>
              <a:solidFill>
                <a:schemeClr val="bg1">
                  <a:lumMod val="65000"/>
                </a:schemeClr>
              </a:solidFill>
            </c:spPr>
          </c:dPt>
          <c:dPt>
            <c:idx val="3"/>
            <c:bubble3D val="0"/>
            <c:spPr>
              <a:solidFill>
                <a:srgbClr val="99FF66"/>
              </a:solidFill>
            </c:spPr>
          </c:dPt>
          <c:dPt>
            <c:idx val="4"/>
            <c:bubble3D val="0"/>
            <c:spPr>
              <a:solidFill>
                <a:srgbClr val="FF6600"/>
              </a:solidFill>
            </c:spPr>
          </c:dPt>
          <c:dPt>
            <c:idx val="5"/>
            <c:bubble3D val="0"/>
            <c:spPr>
              <a:solidFill>
                <a:srgbClr val="FF6699"/>
              </a:solidFill>
            </c:spPr>
          </c:dPt>
          <c:dPt>
            <c:idx val="6"/>
            <c:bubble3D val="0"/>
            <c:spPr>
              <a:solidFill>
                <a:srgbClr val="FF0000"/>
              </a:solidFill>
            </c:spPr>
          </c:dPt>
          <c:dPt>
            <c:idx val="7"/>
            <c:bubble3D val="0"/>
            <c:spPr>
              <a:solidFill>
                <a:srgbClr val="FFFF00"/>
              </a:solidFill>
            </c:spPr>
          </c:dPt>
          <c:dLbls>
            <c:showLegendKey val="0"/>
            <c:showVal val="0"/>
            <c:showCatName val="0"/>
            <c:showSerName val="0"/>
            <c:showPercent val="1"/>
            <c:showBubbleSize val="0"/>
            <c:showLeaderLines val="1"/>
          </c:dLbls>
          <c:cat>
            <c:strRef>
              <c:f>charts!$A$1:$A$8</c:f>
              <c:strCache>
                <c:ptCount val="8"/>
                <c:pt idx="0">
                  <c:v>Work, Training, Education</c:v>
                </c:pt>
                <c:pt idx="1">
                  <c:v>Local Environment</c:v>
                </c:pt>
                <c:pt idx="2">
                  <c:v>Health</c:v>
                </c:pt>
                <c:pt idx="3">
                  <c:v>Leisure</c:v>
                </c:pt>
                <c:pt idx="4">
                  <c:v>Crime &amp; Safety</c:v>
                </c:pt>
                <c:pt idx="5">
                  <c:v>Community Facilities</c:v>
                </c:pt>
                <c:pt idx="6">
                  <c:v>Traffic &amp; Transport</c:v>
                </c:pt>
                <c:pt idx="7">
                  <c:v>Housing</c:v>
                </c:pt>
              </c:strCache>
            </c:strRef>
          </c:cat>
          <c:val>
            <c:numRef>
              <c:f>charts!$B$1:$B$8</c:f>
              <c:numCache>
                <c:formatCode>General</c:formatCode>
                <c:ptCount val="8"/>
                <c:pt idx="0">
                  <c:v>46</c:v>
                </c:pt>
                <c:pt idx="1">
                  <c:v>107</c:v>
                </c:pt>
                <c:pt idx="2">
                  <c:v>77</c:v>
                </c:pt>
                <c:pt idx="3">
                  <c:v>68</c:v>
                </c:pt>
                <c:pt idx="4">
                  <c:v>192</c:v>
                </c:pt>
                <c:pt idx="5">
                  <c:v>124</c:v>
                </c:pt>
                <c:pt idx="6">
                  <c:v>98</c:v>
                </c:pt>
                <c:pt idx="7">
                  <c:v>81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Local Environment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00B050"/>
            </a:solidFill>
          </c:spPr>
          <c:invertIfNegative val="0"/>
          <c:cat>
            <c:strRef>
              <c:f>DG!$C$83:$C$90</c:f>
              <c:strCache>
                <c:ptCount val="8"/>
                <c:pt idx="0">
                  <c:v>Flowering shrubs to be planted</c:v>
                </c:pt>
                <c:pt idx="1">
                  <c:v>Demolish</c:v>
                </c:pt>
                <c:pt idx="2">
                  <c:v>Sensory garden wanted</c:v>
                </c:pt>
                <c:pt idx="3">
                  <c:v>Revamp not rebuild</c:v>
                </c:pt>
                <c:pt idx="4">
                  <c:v>Dog poop scoop bins needed</c:v>
                </c:pt>
                <c:pt idx="5">
                  <c:v>Street lights to be provided</c:v>
                </c:pt>
                <c:pt idx="6">
                  <c:v>Dog mess problem</c:v>
                </c:pt>
                <c:pt idx="7">
                  <c:v>Tree(s) to be kept</c:v>
                </c:pt>
              </c:strCache>
            </c:strRef>
          </c:cat>
          <c:val>
            <c:numRef>
              <c:f>DG!$D$83:$D$90</c:f>
              <c:numCache>
                <c:formatCode>General</c:formatCode>
                <c:ptCount val="8"/>
                <c:pt idx="0">
                  <c:v>11</c:v>
                </c:pt>
                <c:pt idx="1">
                  <c:v>9</c:v>
                </c:pt>
                <c:pt idx="2">
                  <c:v>7</c:v>
                </c:pt>
                <c:pt idx="3">
                  <c:v>6</c:v>
                </c:pt>
                <c:pt idx="4">
                  <c:v>6</c:v>
                </c:pt>
                <c:pt idx="5">
                  <c:v>5</c:v>
                </c:pt>
                <c:pt idx="6">
                  <c:v>5</c:v>
                </c:pt>
                <c:pt idx="7">
                  <c:v>5</c:v>
                </c:pt>
              </c:numCache>
            </c:numRef>
          </c:val>
        </c:ser>
        <c:dLbls>
          <c:showLegendKey val="0"/>
          <c:showVal val="0"/>
          <c:showCatName val="0"/>
          <c:showSerName val="0"/>
          <c:showPercent val="0"/>
          <c:showBubbleSize val="0"/>
        </c:dLbls>
        <c:gapWidth val="150"/>
        <c:axId val="80913920"/>
        <c:axId val="80915456"/>
      </c:barChart>
      <c:catAx>
        <c:axId val="80913920"/>
        <c:scaling>
          <c:orientation val="minMax"/>
        </c:scaling>
        <c:delete val="0"/>
        <c:axPos val="b"/>
        <c:majorTickMark val="none"/>
        <c:minorTickMark val="none"/>
        <c:tickLblPos val="nextTo"/>
        <c:crossAx val="80915456"/>
        <c:crosses val="autoZero"/>
        <c:auto val="1"/>
        <c:lblAlgn val="ctr"/>
        <c:lblOffset val="100"/>
        <c:noMultiLvlLbl val="0"/>
      </c:catAx>
      <c:valAx>
        <c:axId val="80915456"/>
        <c:scaling>
          <c:orientation val="minMax"/>
        </c:scaling>
        <c:delete val="0"/>
        <c:axPos val="l"/>
        <c:majorGridlines/>
        <c:numFmt formatCode="General" sourceLinked="1"/>
        <c:majorTickMark val="none"/>
        <c:minorTickMark val="none"/>
        <c:tickLblPos val="nextTo"/>
        <c:crossAx val="8091392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Local Environment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00B050"/>
            </a:solidFill>
          </c:spPr>
          <c:invertIfNegative val="0"/>
          <c:cat>
            <c:strRef>
              <c:f>DG!$C$102:$C$107</c:f>
              <c:strCache>
                <c:ptCount val="6"/>
                <c:pt idx="0">
                  <c:v>Within District Centre</c:v>
                </c:pt>
                <c:pt idx="1">
                  <c:v>Car parks</c:v>
                </c:pt>
                <c:pt idx="2">
                  <c:v>Lingen Close/ Kinnersley Close</c:v>
                </c:pt>
                <c:pt idx="3">
                  <c:v>The Winyate PH</c:v>
                </c:pt>
                <c:pt idx="4">
                  <c:v>Bus route </c:v>
                </c:pt>
                <c:pt idx="5">
                  <c:v>St Gregorys Church</c:v>
                </c:pt>
              </c:strCache>
            </c:strRef>
          </c:cat>
          <c:val>
            <c:numRef>
              <c:f>DG!$D$102:$D$107</c:f>
              <c:numCache>
                <c:formatCode>General</c:formatCode>
                <c:ptCount val="6"/>
                <c:pt idx="0">
                  <c:v>44</c:v>
                </c:pt>
                <c:pt idx="1">
                  <c:v>21</c:v>
                </c:pt>
                <c:pt idx="2">
                  <c:v>6</c:v>
                </c:pt>
                <c:pt idx="3">
                  <c:v>6</c:v>
                </c:pt>
                <c:pt idx="4">
                  <c:v>6</c:v>
                </c:pt>
                <c:pt idx="5">
                  <c:v>5</c:v>
                </c:pt>
              </c:numCache>
            </c:numRef>
          </c:val>
        </c:ser>
        <c:dLbls>
          <c:showLegendKey val="0"/>
          <c:showVal val="0"/>
          <c:showCatName val="0"/>
          <c:showSerName val="0"/>
          <c:showPercent val="0"/>
          <c:showBubbleSize val="0"/>
        </c:dLbls>
        <c:gapWidth val="150"/>
        <c:axId val="26280320"/>
        <c:axId val="26282240"/>
      </c:barChart>
      <c:catAx>
        <c:axId val="26280320"/>
        <c:scaling>
          <c:orientation val="minMax"/>
        </c:scaling>
        <c:delete val="0"/>
        <c:axPos val="b"/>
        <c:majorTickMark val="none"/>
        <c:minorTickMark val="none"/>
        <c:tickLblPos val="nextTo"/>
        <c:crossAx val="26282240"/>
        <c:crosses val="autoZero"/>
        <c:auto val="1"/>
        <c:lblAlgn val="ctr"/>
        <c:lblOffset val="100"/>
        <c:noMultiLvlLbl val="0"/>
      </c:catAx>
      <c:valAx>
        <c:axId val="26282240"/>
        <c:scaling>
          <c:orientation val="minMax"/>
        </c:scaling>
        <c:delete val="0"/>
        <c:axPos val="l"/>
        <c:majorGridlines/>
        <c:numFmt formatCode="General" sourceLinked="1"/>
        <c:majorTickMark val="none"/>
        <c:minorTickMark val="none"/>
        <c:tickLblPos val="nextTo"/>
        <c:crossAx val="2628032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Leisure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99FF66"/>
            </a:solidFill>
          </c:spPr>
          <c:invertIfNegative val="0"/>
          <c:cat>
            <c:strRef>
              <c:f>LG!$C$54:$C$58</c:f>
              <c:strCache>
                <c:ptCount val="5"/>
                <c:pt idx="0">
                  <c:v>6-12 yr olds adventure playground</c:v>
                </c:pt>
                <c:pt idx="1">
                  <c:v>Playground for under 5s</c:v>
                </c:pt>
                <c:pt idx="2">
                  <c:v>Multi-gym</c:v>
                </c:pt>
                <c:pt idx="3">
                  <c:v>Outdoor ping pong</c:v>
                </c:pt>
                <c:pt idx="4">
                  <c:v>Internet/ cyber café</c:v>
                </c:pt>
              </c:strCache>
            </c:strRef>
          </c:cat>
          <c:val>
            <c:numRef>
              <c:f>LG!$D$54:$D$58</c:f>
              <c:numCache>
                <c:formatCode>General</c:formatCode>
                <c:ptCount val="5"/>
                <c:pt idx="0">
                  <c:v>8</c:v>
                </c:pt>
                <c:pt idx="1">
                  <c:v>7</c:v>
                </c:pt>
                <c:pt idx="2">
                  <c:v>6</c:v>
                </c:pt>
                <c:pt idx="3">
                  <c:v>5</c:v>
                </c:pt>
                <c:pt idx="4">
                  <c:v>5</c:v>
                </c:pt>
              </c:numCache>
            </c:numRef>
          </c:val>
        </c:ser>
        <c:dLbls>
          <c:showLegendKey val="0"/>
          <c:showVal val="0"/>
          <c:showCatName val="0"/>
          <c:showSerName val="0"/>
          <c:showPercent val="0"/>
          <c:showBubbleSize val="0"/>
        </c:dLbls>
        <c:gapWidth val="150"/>
        <c:axId val="80970496"/>
        <c:axId val="80972032"/>
      </c:barChart>
      <c:catAx>
        <c:axId val="80970496"/>
        <c:scaling>
          <c:orientation val="minMax"/>
        </c:scaling>
        <c:delete val="0"/>
        <c:axPos val="b"/>
        <c:majorTickMark val="none"/>
        <c:minorTickMark val="none"/>
        <c:tickLblPos val="nextTo"/>
        <c:crossAx val="80972032"/>
        <c:crosses val="autoZero"/>
        <c:auto val="1"/>
        <c:lblAlgn val="ctr"/>
        <c:lblOffset val="100"/>
        <c:noMultiLvlLbl val="0"/>
      </c:catAx>
      <c:valAx>
        <c:axId val="80972032"/>
        <c:scaling>
          <c:orientation val="minMax"/>
        </c:scaling>
        <c:delete val="0"/>
        <c:axPos val="l"/>
        <c:majorGridlines/>
        <c:numFmt formatCode="General" sourceLinked="1"/>
        <c:majorTickMark val="none"/>
        <c:minorTickMark val="none"/>
        <c:tickLblPos val="nextTo"/>
        <c:crossAx val="8097049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Winyates District Centre</a:t>
            </a:r>
          </a:p>
          <a:p>
            <a:pPr>
              <a:defRPr/>
            </a:pPr>
            <a:r>
              <a:rPr lang="en-US" sz="1400"/>
              <a:t>Crime &amp; Safety</a:t>
            </a:r>
            <a:r>
              <a:rPr lang="en-US" sz="1400" baseline="0"/>
              <a:t> - </a:t>
            </a:r>
            <a:r>
              <a:rPr lang="en-US" sz="1400"/>
              <a:t>Overall Key Issues </a:t>
            </a:r>
          </a:p>
        </c:rich>
      </c:tx>
      <c:layout/>
      <c:overlay val="0"/>
    </c:title>
    <c:autoTitleDeleted val="0"/>
    <c:plotArea>
      <c:layout/>
      <c:barChart>
        <c:barDir val="col"/>
        <c:grouping val="clustered"/>
        <c:varyColors val="0"/>
        <c:ser>
          <c:idx val="0"/>
          <c:order val="0"/>
          <c:spPr>
            <a:solidFill>
              <a:srgbClr val="FF6600"/>
            </a:solidFill>
          </c:spPr>
          <c:invertIfNegative val="0"/>
          <c:cat>
            <c:strRef>
              <c:f>O!$C$212:$C$225</c:f>
              <c:strCache>
                <c:ptCount val="14"/>
                <c:pt idx="0">
                  <c:v>Drug taking problem</c:v>
                </c:pt>
                <c:pt idx="1">
                  <c:v>Lighting to be improved</c:v>
                </c:pt>
                <c:pt idx="2">
                  <c:v>I feel safe here</c:v>
                </c:pt>
                <c:pt idx="3">
                  <c:v>Drug dealing problem</c:v>
                </c:pt>
                <c:pt idx="4">
                  <c:v>I don't feel safe here</c:v>
                </c:pt>
                <c:pt idx="5">
                  <c:v>People afraid to go out at night</c:v>
                </c:pt>
                <c:pt idx="6">
                  <c:v>Young people hanging around</c:v>
                </c:pt>
                <c:pt idx="7">
                  <c:v>Drinking problem</c:v>
                </c:pt>
                <c:pt idx="8">
                  <c:v>Illegal dumping problem</c:v>
                </c:pt>
                <c:pt idx="9">
                  <c:v>Police - more foot patrols needed</c:v>
                </c:pt>
                <c:pt idx="10">
                  <c:v>Security cameras needed</c:v>
                </c:pt>
                <c:pt idx="11">
                  <c:v>Graffiti problem</c:v>
                </c:pt>
                <c:pt idx="12">
                  <c:v>Derelict land problem</c:v>
                </c:pt>
                <c:pt idx="13">
                  <c:v>Speeding/ dangerous driving</c:v>
                </c:pt>
              </c:strCache>
            </c:strRef>
          </c:cat>
          <c:val>
            <c:numRef>
              <c:f>O!$D$212:$D$225</c:f>
              <c:numCache>
                <c:formatCode>General</c:formatCode>
                <c:ptCount val="14"/>
                <c:pt idx="0">
                  <c:v>23</c:v>
                </c:pt>
                <c:pt idx="1">
                  <c:v>17</c:v>
                </c:pt>
                <c:pt idx="2">
                  <c:v>16</c:v>
                </c:pt>
                <c:pt idx="3">
                  <c:v>15</c:v>
                </c:pt>
                <c:pt idx="4">
                  <c:v>13</c:v>
                </c:pt>
                <c:pt idx="5">
                  <c:v>13</c:v>
                </c:pt>
                <c:pt idx="6">
                  <c:v>11</c:v>
                </c:pt>
                <c:pt idx="7">
                  <c:v>10</c:v>
                </c:pt>
                <c:pt idx="8">
                  <c:v>10</c:v>
                </c:pt>
                <c:pt idx="9">
                  <c:v>9</c:v>
                </c:pt>
                <c:pt idx="10">
                  <c:v>8</c:v>
                </c:pt>
                <c:pt idx="11">
                  <c:v>7</c:v>
                </c:pt>
                <c:pt idx="12">
                  <c:v>5</c:v>
                </c:pt>
                <c:pt idx="13">
                  <c:v>5</c:v>
                </c:pt>
              </c:numCache>
            </c:numRef>
          </c:val>
        </c:ser>
        <c:dLbls>
          <c:showLegendKey val="0"/>
          <c:showVal val="0"/>
          <c:showCatName val="0"/>
          <c:showSerName val="0"/>
          <c:showPercent val="0"/>
          <c:showBubbleSize val="0"/>
        </c:dLbls>
        <c:gapWidth val="150"/>
        <c:axId val="81004800"/>
        <c:axId val="81010688"/>
      </c:barChart>
      <c:catAx>
        <c:axId val="81004800"/>
        <c:scaling>
          <c:orientation val="minMax"/>
        </c:scaling>
        <c:delete val="0"/>
        <c:axPos val="b"/>
        <c:majorTickMark val="none"/>
        <c:minorTickMark val="none"/>
        <c:tickLblPos val="nextTo"/>
        <c:crossAx val="81010688"/>
        <c:crosses val="autoZero"/>
        <c:auto val="1"/>
        <c:lblAlgn val="ctr"/>
        <c:lblOffset val="100"/>
        <c:noMultiLvlLbl val="0"/>
      </c:catAx>
      <c:valAx>
        <c:axId val="81010688"/>
        <c:scaling>
          <c:orientation val="minMax"/>
        </c:scaling>
        <c:delete val="0"/>
        <c:axPos val="l"/>
        <c:majorGridlines/>
        <c:numFmt formatCode="General" sourceLinked="1"/>
        <c:majorTickMark val="none"/>
        <c:minorTickMark val="none"/>
        <c:tickLblPos val="nextTo"/>
        <c:crossAx val="8100480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Crime &amp; Safety - Overall Key Locations </a:t>
            </a:r>
            <a:endParaRPr lang="en-GB" sz="1400">
              <a:effectLst/>
            </a:endParaRPr>
          </a:p>
        </c:rich>
      </c:tx>
      <c:layout/>
      <c:overlay val="0"/>
    </c:title>
    <c:autoTitleDeleted val="0"/>
    <c:plotArea>
      <c:layout/>
      <c:barChart>
        <c:barDir val="col"/>
        <c:grouping val="clustered"/>
        <c:varyColors val="0"/>
        <c:ser>
          <c:idx val="0"/>
          <c:order val="0"/>
          <c:spPr>
            <a:solidFill>
              <a:srgbClr val="FF6600"/>
            </a:solidFill>
          </c:spPr>
          <c:invertIfNegative val="0"/>
          <c:cat>
            <c:strRef>
              <c:f>O!$C$152:$C$157</c:f>
              <c:strCache>
                <c:ptCount val="6"/>
                <c:pt idx="0">
                  <c:v>Within District Centre</c:v>
                </c:pt>
                <c:pt idx="1">
                  <c:v>Winyates Craft Centre</c:v>
                </c:pt>
                <c:pt idx="2">
                  <c:v>Car parks</c:v>
                </c:pt>
                <c:pt idx="3">
                  <c:v>Woodcote Close</c:v>
                </c:pt>
                <c:pt idx="4">
                  <c:v>St Gregorys Church</c:v>
                </c:pt>
                <c:pt idx="5">
                  <c:v>Lingen Close/ Kinnersley Close</c:v>
                </c:pt>
              </c:strCache>
            </c:strRef>
          </c:cat>
          <c:val>
            <c:numRef>
              <c:f>O!$D$152:$D$157</c:f>
              <c:numCache>
                <c:formatCode>General</c:formatCode>
                <c:ptCount val="6"/>
                <c:pt idx="0">
                  <c:v>48</c:v>
                </c:pt>
                <c:pt idx="1">
                  <c:v>25</c:v>
                </c:pt>
                <c:pt idx="2">
                  <c:v>21</c:v>
                </c:pt>
                <c:pt idx="3">
                  <c:v>20</c:v>
                </c:pt>
                <c:pt idx="4">
                  <c:v>18</c:v>
                </c:pt>
                <c:pt idx="5">
                  <c:v>16</c:v>
                </c:pt>
              </c:numCache>
            </c:numRef>
          </c:val>
        </c:ser>
        <c:dLbls>
          <c:showLegendKey val="0"/>
          <c:showVal val="0"/>
          <c:showCatName val="0"/>
          <c:showSerName val="0"/>
          <c:showPercent val="0"/>
          <c:showBubbleSize val="0"/>
        </c:dLbls>
        <c:gapWidth val="150"/>
        <c:axId val="25363200"/>
        <c:axId val="26651648"/>
      </c:barChart>
      <c:catAx>
        <c:axId val="25363200"/>
        <c:scaling>
          <c:orientation val="minMax"/>
        </c:scaling>
        <c:delete val="0"/>
        <c:axPos val="b"/>
        <c:majorTickMark val="none"/>
        <c:minorTickMark val="none"/>
        <c:tickLblPos val="nextTo"/>
        <c:crossAx val="26651648"/>
        <c:crosses val="autoZero"/>
        <c:auto val="1"/>
        <c:lblAlgn val="ctr"/>
        <c:lblOffset val="100"/>
        <c:noMultiLvlLbl val="0"/>
      </c:catAx>
      <c:valAx>
        <c:axId val="26651648"/>
        <c:scaling>
          <c:orientation val="minMax"/>
        </c:scaling>
        <c:delete val="0"/>
        <c:axPos val="l"/>
        <c:majorGridlines/>
        <c:numFmt formatCode="General" sourceLinked="1"/>
        <c:majorTickMark val="none"/>
        <c:minorTickMark val="none"/>
        <c:tickLblPos val="nextTo"/>
        <c:crossAx val="2536320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Community Facilities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FF6699"/>
            </a:solidFill>
          </c:spPr>
          <c:invertIfNegative val="0"/>
          <c:cat>
            <c:strRef>
              <c:f>P!$C$64:$C$71</c:f>
              <c:strCache>
                <c:ptCount val="8"/>
                <c:pt idx="0">
                  <c:v>Community centre</c:v>
                </c:pt>
                <c:pt idx="1">
                  <c:v>Elderly people's club/ day centre</c:v>
                </c:pt>
                <c:pt idx="2">
                  <c:v>Youth club/ centre</c:v>
                </c:pt>
                <c:pt idx="3">
                  <c:v>Community café</c:v>
                </c:pt>
                <c:pt idx="4">
                  <c:v>Pub wanted</c:v>
                </c:pt>
                <c:pt idx="5">
                  <c:v>Money advice bureau</c:v>
                </c:pt>
                <c:pt idx="6">
                  <c:v>Toilets with accessible facilities</c:v>
                </c:pt>
                <c:pt idx="7">
                  <c:v>Youth shelter needed</c:v>
                </c:pt>
              </c:strCache>
            </c:strRef>
          </c:cat>
          <c:val>
            <c:numRef>
              <c:f>P!$D$64:$D$71</c:f>
              <c:numCache>
                <c:formatCode>General</c:formatCode>
                <c:ptCount val="8"/>
                <c:pt idx="0">
                  <c:v>26</c:v>
                </c:pt>
                <c:pt idx="1">
                  <c:v>11</c:v>
                </c:pt>
                <c:pt idx="2">
                  <c:v>8</c:v>
                </c:pt>
                <c:pt idx="3">
                  <c:v>8</c:v>
                </c:pt>
                <c:pt idx="4">
                  <c:v>6</c:v>
                </c:pt>
                <c:pt idx="5">
                  <c:v>6</c:v>
                </c:pt>
                <c:pt idx="6">
                  <c:v>5</c:v>
                </c:pt>
                <c:pt idx="7">
                  <c:v>5</c:v>
                </c:pt>
              </c:numCache>
            </c:numRef>
          </c:val>
        </c:ser>
        <c:dLbls>
          <c:showLegendKey val="0"/>
          <c:showVal val="0"/>
          <c:showCatName val="0"/>
          <c:showSerName val="0"/>
          <c:showPercent val="0"/>
          <c:showBubbleSize val="0"/>
        </c:dLbls>
        <c:gapWidth val="150"/>
        <c:axId val="81052416"/>
        <c:axId val="81053952"/>
      </c:barChart>
      <c:catAx>
        <c:axId val="81052416"/>
        <c:scaling>
          <c:orientation val="minMax"/>
        </c:scaling>
        <c:delete val="0"/>
        <c:axPos val="b"/>
        <c:majorTickMark val="none"/>
        <c:minorTickMark val="none"/>
        <c:tickLblPos val="nextTo"/>
        <c:crossAx val="81053952"/>
        <c:crosses val="autoZero"/>
        <c:auto val="1"/>
        <c:lblAlgn val="ctr"/>
        <c:lblOffset val="100"/>
        <c:noMultiLvlLbl val="0"/>
      </c:catAx>
      <c:valAx>
        <c:axId val="81053952"/>
        <c:scaling>
          <c:orientation val="minMax"/>
        </c:scaling>
        <c:delete val="0"/>
        <c:axPos val="l"/>
        <c:majorGridlines/>
        <c:numFmt formatCode="General" sourceLinked="1"/>
        <c:majorTickMark val="none"/>
        <c:minorTickMark val="none"/>
        <c:tickLblPos val="nextTo"/>
        <c:crossAx val="810524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Local Environment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00B050"/>
            </a:solidFill>
          </c:spPr>
          <c:invertIfNegative val="0"/>
          <c:cat>
            <c:strRef>
              <c:f>DG!$C$179:$C$199</c:f>
              <c:strCache>
                <c:ptCount val="21"/>
                <c:pt idx="0">
                  <c:v>Street lights to be provided</c:v>
                </c:pt>
                <c:pt idx="1">
                  <c:v>Litter bins needed</c:v>
                </c:pt>
                <c:pt idx="2">
                  <c:v>Pond to be improved</c:v>
                </c:pt>
                <c:pt idx="3">
                  <c:v>Dog mess problem</c:v>
                </c:pt>
                <c:pt idx="4">
                  <c:v>Tree to be removed</c:v>
                </c:pt>
                <c:pt idx="5">
                  <c:v>Dog walking area</c:v>
                </c:pt>
                <c:pt idx="6">
                  <c:v>Nature trail</c:v>
                </c:pt>
                <c:pt idx="7">
                  <c:v>Dog poop scoop bins needed</c:v>
                </c:pt>
                <c:pt idx="8">
                  <c:v>Nature reserve</c:v>
                </c:pt>
                <c:pt idx="9">
                  <c:v>Picnic area</c:v>
                </c:pt>
                <c:pt idx="10">
                  <c:v>Litter problems</c:v>
                </c:pt>
                <c:pt idx="11">
                  <c:v>Recycling facility wanted here</c:v>
                </c:pt>
                <c:pt idx="12">
                  <c:v>Planting to encourage wildlife</c:v>
                </c:pt>
                <c:pt idx="13">
                  <c:v>Tree(s) to be planted here</c:v>
                </c:pt>
                <c:pt idx="14">
                  <c:v>Dog free zone</c:v>
                </c:pt>
                <c:pt idx="15">
                  <c:v>Footpath needed</c:v>
                </c:pt>
                <c:pt idx="16">
                  <c:v>Public art wanted</c:v>
                </c:pt>
                <c:pt idx="17">
                  <c:v>Clean up needed</c:v>
                </c:pt>
                <c:pt idx="18">
                  <c:v>Tree(s) to be kept</c:v>
                </c:pt>
                <c:pt idx="19">
                  <c:v>Muck about area</c:v>
                </c:pt>
                <c:pt idx="20">
                  <c:v>Railings needed</c:v>
                </c:pt>
              </c:strCache>
            </c:strRef>
          </c:cat>
          <c:val>
            <c:numRef>
              <c:f>DG!$D$179:$D$199</c:f>
              <c:numCache>
                <c:formatCode>General</c:formatCode>
                <c:ptCount val="21"/>
                <c:pt idx="0">
                  <c:v>31</c:v>
                </c:pt>
                <c:pt idx="1">
                  <c:v>20</c:v>
                </c:pt>
                <c:pt idx="2">
                  <c:v>19</c:v>
                </c:pt>
                <c:pt idx="3">
                  <c:v>17</c:v>
                </c:pt>
                <c:pt idx="4">
                  <c:v>15</c:v>
                </c:pt>
                <c:pt idx="5">
                  <c:v>14</c:v>
                </c:pt>
                <c:pt idx="6">
                  <c:v>14</c:v>
                </c:pt>
                <c:pt idx="7">
                  <c:v>13</c:v>
                </c:pt>
                <c:pt idx="8">
                  <c:v>13</c:v>
                </c:pt>
                <c:pt idx="9">
                  <c:v>13</c:v>
                </c:pt>
                <c:pt idx="10">
                  <c:v>11</c:v>
                </c:pt>
                <c:pt idx="11">
                  <c:v>11</c:v>
                </c:pt>
                <c:pt idx="12">
                  <c:v>10</c:v>
                </c:pt>
                <c:pt idx="13">
                  <c:v>9</c:v>
                </c:pt>
                <c:pt idx="14">
                  <c:v>8</c:v>
                </c:pt>
                <c:pt idx="15">
                  <c:v>8</c:v>
                </c:pt>
                <c:pt idx="16">
                  <c:v>8</c:v>
                </c:pt>
                <c:pt idx="17">
                  <c:v>7</c:v>
                </c:pt>
                <c:pt idx="18">
                  <c:v>7</c:v>
                </c:pt>
                <c:pt idx="19">
                  <c:v>6</c:v>
                </c:pt>
                <c:pt idx="20">
                  <c:v>6</c:v>
                </c:pt>
              </c:numCache>
            </c:numRef>
          </c:val>
        </c:ser>
        <c:dLbls>
          <c:showLegendKey val="0"/>
          <c:showVal val="0"/>
          <c:showCatName val="0"/>
          <c:showSerName val="0"/>
          <c:showPercent val="0"/>
          <c:showBubbleSize val="0"/>
        </c:dLbls>
        <c:gapWidth val="150"/>
        <c:axId val="79427840"/>
        <c:axId val="47337472"/>
      </c:barChart>
      <c:catAx>
        <c:axId val="79427840"/>
        <c:scaling>
          <c:orientation val="minMax"/>
        </c:scaling>
        <c:delete val="0"/>
        <c:axPos val="b"/>
        <c:majorTickMark val="none"/>
        <c:minorTickMark val="none"/>
        <c:tickLblPos val="nextTo"/>
        <c:crossAx val="47337472"/>
        <c:crosses val="autoZero"/>
        <c:auto val="1"/>
        <c:lblAlgn val="ctr"/>
        <c:lblOffset val="100"/>
        <c:noMultiLvlLbl val="0"/>
      </c:catAx>
      <c:valAx>
        <c:axId val="47337472"/>
        <c:scaling>
          <c:orientation val="minMax"/>
        </c:scaling>
        <c:delete val="0"/>
        <c:axPos val="l"/>
        <c:majorGridlines/>
        <c:numFmt formatCode="General" sourceLinked="1"/>
        <c:majorTickMark val="none"/>
        <c:minorTickMark val="none"/>
        <c:tickLblPos val="nextTo"/>
        <c:crossAx val="7942784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Community Facilities - Overall Key Locations </a:t>
            </a:r>
            <a:endParaRPr lang="en-GB" sz="1400">
              <a:effectLst/>
            </a:endParaRPr>
          </a:p>
        </c:rich>
      </c:tx>
      <c:layout/>
      <c:overlay val="0"/>
    </c:title>
    <c:autoTitleDeleted val="0"/>
    <c:plotArea>
      <c:layout/>
      <c:barChart>
        <c:barDir val="col"/>
        <c:grouping val="clustered"/>
        <c:varyColors val="0"/>
        <c:ser>
          <c:idx val="0"/>
          <c:order val="0"/>
          <c:spPr>
            <a:solidFill>
              <a:srgbClr val="FF6699"/>
            </a:solidFill>
          </c:spPr>
          <c:invertIfNegative val="0"/>
          <c:cat>
            <c:strRef>
              <c:f>P!$C$77:$C$79</c:f>
              <c:strCache>
                <c:ptCount val="3"/>
                <c:pt idx="0">
                  <c:v>Within District Centre</c:v>
                </c:pt>
                <c:pt idx="1">
                  <c:v>The Winyate PH</c:v>
                </c:pt>
                <c:pt idx="2">
                  <c:v>Car parks</c:v>
                </c:pt>
              </c:strCache>
            </c:strRef>
          </c:cat>
          <c:val>
            <c:numRef>
              <c:f>P!$D$77:$D$79</c:f>
              <c:numCache>
                <c:formatCode>General</c:formatCode>
                <c:ptCount val="3"/>
                <c:pt idx="0">
                  <c:v>72</c:v>
                </c:pt>
                <c:pt idx="1">
                  <c:v>27</c:v>
                </c:pt>
                <c:pt idx="2">
                  <c:v>14</c:v>
                </c:pt>
              </c:numCache>
            </c:numRef>
          </c:val>
        </c:ser>
        <c:dLbls>
          <c:showLegendKey val="0"/>
          <c:showVal val="0"/>
          <c:showCatName val="0"/>
          <c:showSerName val="0"/>
          <c:showPercent val="0"/>
          <c:showBubbleSize val="0"/>
        </c:dLbls>
        <c:gapWidth val="150"/>
        <c:axId val="26941312"/>
        <c:axId val="26942848"/>
      </c:barChart>
      <c:catAx>
        <c:axId val="26941312"/>
        <c:scaling>
          <c:orientation val="minMax"/>
        </c:scaling>
        <c:delete val="0"/>
        <c:axPos val="b"/>
        <c:majorTickMark val="none"/>
        <c:minorTickMark val="none"/>
        <c:tickLblPos val="nextTo"/>
        <c:crossAx val="26942848"/>
        <c:crosses val="autoZero"/>
        <c:auto val="1"/>
        <c:lblAlgn val="ctr"/>
        <c:lblOffset val="100"/>
        <c:noMultiLvlLbl val="0"/>
      </c:catAx>
      <c:valAx>
        <c:axId val="26942848"/>
        <c:scaling>
          <c:orientation val="minMax"/>
        </c:scaling>
        <c:delete val="0"/>
        <c:axPos val="l"/>
        <c:majorGridlines/>
        <c:numFmt formatCode="General" sourceLinked="1"/>
        <c:majorTickMark val="none"/>
        <c:minorTickMark val="none"/>
        <c:tickLblPos val="nextTo"/>
        <c:crossAx val="2694131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Traffic &amp; Transport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FF0000"/>
            </a:solidFill>
          </c:spPr>
          <c:invertIfNegative val="0"/>
          <c:cat>
            <c:strRef>
              <c:f>'R'!$C$66:$C$70</c:f>
              <c:strCache>
                <c:ptCount val="5"/>
                <c:pt idx="0">
                  <c:v>Parking issues</c:v>
                </c:pt>
                <c:pt idx="1">
                  <c:v>Bus service needs improving</c:v>
                </c:pt>
                <c:pt idx="2">
                  <c:v>Traffic calming needed</c:v>
                </c:pt>
                <c:pt idx="3">
                  <c:v>Zebra crossing needed</c:v>
                </c:pt>
                <c:pt idx="4">
                  <c:v>Open up bus route</c:v>
                </c:pt>
              </c:strCache>
            </c:strRef>
          </c:cat>
          <c:val>
            <c:numRef>
              <c:f>'R'!$D$66:$D$70</c:f>
              <c:numCache>
                <c:formatCode>General</c:formatCode>
                <c:ptCount val="5"/>
                <c:pt idx="0">
                  <c:v>20</c:v>
                </c:pt>
                <c:pt idx="1">
                  <c:v>14</c:v>
                </c:pt>
                <c:pt idx="2">
                  <c:v>11</c:v>
                </c:pt>
                <c:pt idx="3">
                  <c:v>6</c:v>
                </c:pt>
                <c:pt idx="4">
                  <c:v>4</c:v>
                </c:pt>
              </c:numCache>
            </c:numRef>
          </c:val>
        </c:ser>
        <c:dLbls>
          <c:showLegendKey val="0"/>
          <c:showVal val="0"/>
          <c:showCatName val="0"/>
          <c:showSerName val="0"/>
          <c:showPercent val="0"/>
          <c:showBubbleSize val="0"/>
        </c:dLbls>
        <c:gapWidth val="150"/>
        <c:axId val="81113472"/>
        <c:axId val="81115008"/>
      </c:barChart>
      <c:catAx>
        <c:axId val="81113472"/>
        <c:scaling>
          <c:orientation val="minMax"/>
        </c:scaling>
        <c:delete val="0"/>
        <c:axPos val="b"/>
        <c:majorTickMark val="none"/>
        <c:minorTickMark val="none"/>
        <c:tickLblPos val="nextTo"/>
        <c:crossAx val="81115008"/>
        <c:crosses val="autoZero"/>
        <c:auto val="1"/>
        <c:lblAlgn val="ctr"/>
        <c:lblOffset val="100"/>
        <c:noMultiLvlLbl val="0"/>
      </c:catAx>
      <c:valAx>
        <c:axId val="81115008"/>
        <c:scaling>
          <c:orientation val="minMax"/>
        </c:scaling>
        <c:delete val="0"/>
        <c:axPos val="l"/>
        <c:majorGridlines/>
        <c:numFmt formatCode="General" sourceLinked="1"/>
        <c:majorTickMark val="none"/>
        <c:minorTickMark val="none"/>
        <c:tickLblPos val="nextTo"/>
        <c:crossAx val="8111347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Traffic &amp; Transport - Overall Key Locations </a:t>
            </a:r>
            <a:endParaRPr lang="en-GB" sz="1400">
              <a:effectLst/>
            </a:endParaRPr>
          </a:p>
        </c:rich>
      </c:tx>
      <c:layout/>
      <c:overlay val="0"/>
    </c:title>
    <c:autoTitleDeleted val="0"/>
    <c:plotArea>
      <c:layout/>
      <c:barChart>
        <c:barDir val="col"/>
        <c:grouping val="clustered"/>
        <c:varyColors val="0"/>
        <c:ser>
          <c:idx val="0"/>
          <c:order val="0"/>
          <c:spPr>
            <a:solidFill>
              <a:srgbClr val="FF0000"/>
            </a:solidFill>
          </c:spPr>
          <c:invertIfNegative val="0"/>
          <c:cat>
            <c:strRef>
              <c:f>'R'!$C$74:$C$77</c:f>
              <c:strCache>
                <c:ptCount val="4"/>
                <c:pt idx="0">
                  <c:v>Bus route</c:v>
                </c:pt>
                <c:pt idx="1">
                  <c:v>Ipsley Academy/ Lowlands Lane</c:v>
                </c:pt>
                <c:pt idx="2">
                  <c:v>Roman Way School</c:v>
                </c:pt>
                <c:pt idx="3">
                  <c:v>Treville Close</c:v>
                </c:pt>
              </c:strCache>
            </c:strRef>
          </c:cat>
          <c:val>
            <c:numRef>
              <c:f>'R'!$D$74:$D$77</c:f>
              <c:numCache>
                <c:formatCode>General</c:formatCode>
                <c:ptCount val="4"/>
                <c:pt idx="0">
                  <c:v>53</c:v>
                </c:pt>
                <c:pt idx="1">
                  <c:v>14</c:v>
                </c:pt>
                <c:pt idx="2">
                  <c:v>12</c:v>
                </c:pt>
                <c:pt idx="3">
                  <c:v>9</c:v>
                </c:pt>
              </c:numCache>
            </c:numRef>
          </c:val>
        </c:ser>
        <c:dLbls>
          <c:showLegendKey val="0"/>
          <c:showVal val="0"/>
          <c:showCatName val="0"/>
          <c:showSerName val="0"/>
          <c:showPercent val="0"/>
          <c:showBubbleSize val="0"/>
        </c:dLbls>
        <c:gapWidth val="150"/>
        <c:axId val="81401728"/>
        <c:axId val="81403264"/>
      </c:barChart>
      <c:catAx>
        <c:axId val="81401728"/>
        <c:scaling>
          <c:orientation val="minMax"/>
        </c:scaling>
        <c:delete val="0"/>
        <c:axPos val="b"/>
        <c:majorTickMark val="none"/>
        <c:minorTickMark val="none"/>
        <c:tickLblPos val="nextTo"/>
        <c:crossAx val="81403264"/>
        <c:crosses val="autoZero"/>
        <c:auto val="1"/>
        <c:lblAlgn val="ctr"/>
        <c:lblOffset val="100"/>
        <c:noMultiLvlLbl val="0"/>
      </c:catAx>
      <c:valAx>
        <c:axId val="81403264"/>
        <c:scaling>
          <c:orientation val="minMax"/>
        </c:scaling>
        <c:delete val="0"/>
        <c:axPos val="l"/>
        <c:majorGridlines/>
        <c:numFmt formatCode="General" sourceLinked="1"/>
        <c:majorTickMark val="none"/>
        <c:minorTickMark val="none"/>
        <c:tickLblPos val="nextTo"/>
        <c:crossAx val="8140172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Housing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FFFF00"/>
            </a:solidFill>
          </c:spPr>
          <c:invertIfNegative val="0"/>
          <c:cat>
            <c:strRef>
              <c:f>Y!$C$65:$C$71</c:f>
              <c:strCache>
                <c:ptCount val="7"/>
                <c:pt idx="0">
                  <c:v>Issue with existing flats</c:v>
                </c:pt>
                <c:pt idx="1">
                  <c:v>Noisy neighbour problem</c:v>
                </c:pt>
                <c:pt idx="2">
                  <c:v>Housing for families needed</c:v>
                </c:pt>
                <c:pt idx="3">
                  <c:v>Drainage needs improving</c:v>
                </c:pt>
                <c:pt idx="4">
                  <c:v>Collection of large items to be improved</c:v>
                </c:pt>
                <c:pt idx="5">
                  <c:v>Housing for elderly people</c:v>
                </c:pt>
                <c:pt idx="6">
                  <c:v>Flats for younger people</c:v>
                </c:pt>
              </c:strCache>
            </c:strRef>
          </c:cat>
          <c:val>
            <c:numRef>
              <c:f>Y!$D$65:$D$71</c:f>
              <c:numCache>
                <c:formatCode>General</c:formatCode>
                <c:ptCount val="7"/>
                <c:pt idx="0">
                  <c:v>25</c:v>
                </c:pt>
                <c:pt idx="1">
                  <c:v>8</c:v>
                </c:pt>
                <c:pt idx="2">
                  <c:v>6</c:v>
                </c:pt>
                <c:pt idx="3">
                  <c:v>5</c:v>
                </c:pt>
                <c:pt idx="4">
                  <c:v>5</c:v>
                </c:pt>
                <c:pt idx="5">
                  <c:v>4</c:v>
                </c:pt>
                <c:pt idx="6">
                  <c:v>4</c:v>
                </c:pt>
              </c:numCache>
            </c:numRef>
          </c:val>
        </c:ser>
        <c:dLbls>
          <c:showLegendKey val="0"/>
          <c:showVal val="0"/>
          <c:showCatName val="0"/>
          <c:showSerName val="0"/>
          <c:showPercent val="0"/>
          <c:showBubbleSize val="0"/>
        </c:dLbls>
        <c:gapWidth val="150"/>
        <c:axId val="81423744"/>
        <c:axId val="81437824"/>
      </c:barChart>
      <c:catAx>
        <c:axId val="81423744"/>
        <c:scaling>
          <c:orientation val="minMax"/>
        </c:scaling>
        <c:delete val="0"/>
        <c:axPos val="b"/>
        <c:majorTickMark val="none"/>
        <c:minorTickMark val="none"/>
        <c:tickLblPos val="nextTo"/>
        <c:crossAx val="81437824"/>
        <c:crosses val="autoZero"/>
        <c:auto val="1"/>
        <c:lblAlgn val="ctr"/>
        <c:lblOffset val="100"/>
        <c:noMultiLvlLbl val="0"/>
      </c:catAx>
      <c:valAx>
        <c:axId val="81437824"/>
        <c:scaling>
          <c:orientation val="minMax"/>
        </c:scaling>
        <c:delete val="0"/>
        <c:axPos val="l"/>
        <c:majorGridlines/>
        <c:numFmt formatCode="General" sourceLinked="1"/>
        <c:majorTickMark val="none"/>
        <c:minorTickMark val="none"/>
        <c:tickLblPos val="nextTo"/>
        <c:crossAx val="81423744"/>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Winyates District Centre</a:t>
            </a:r>
            <a:endParaRPr lang="en-GB" sz="1400">
              <a:effectLst/>
            </a:endParaRPr>
          </a:p>
          <a:p>
            <a:pPr>
              <a:defRPr/>
            </a:pPr>
            <a:r>
              <a:rPr lang="en-US" sz="1400" b="1" i="0" baseline="0">
                <a:effectLst/>
              </a:rPr>
              <a:t>Housing - Overall Key Locations </a:t>
            </a:r>
            <a:endParaRPr lang="en-GB" sz="1400">
              <a:effectLst/>
            </a:endParaRPr>
          </a:p>
        </c:rich>
      </c:tx>
      <c:layout/>
      <c:overlay val="0"/>
    </c:title>
    <c:autoTitleDeleted val="0"/>
    <c:plotArea>
      <c:layout/>
      <c:barChart>
        <c:barDir val="col"/>
        <c:grouping val="clustered"/>
        <c:varyColors val="0"/>
        <c:ser>
          <c:idx val="0"/>
          <c:order val="0"/>
          <c:spPr>
            <a:solidFill>
              <a:srgbClr val="FFFF00"/>
            </a:solidFill>
          </c:spPr>
          <c:invertIfNegative val="0"/>
          <c:cat>
            <c:strRef>
              <c:f>Y!$C$75:$C$77</c:f>
              <c:strCache>
                <c:ptCount val="3"/>
                <c:pt idx="0">
                  <c:v>Within District Centre</c:v>
                </c:pt>
                <c:pt idx="1">
                  <c:v>Lingen Close/ Kinnersley Close</c:v>
                </c:pt>
                <c:pt idx="2">
                  <c:v>Dolben Lane</c:v>
                </c:pt>
              </c:strCache>
            </c:strRef>
          </c:cat>
          <c:val>
            <c:numRef>
              <c:f>Y!$D$75:$D$77</c:f>
              <c:numCache>
                <c:formatCode>General</c:formatCode>
                <c:ptCount val="3"/>
                <c:pt idx="0">
                  <c:v>32</c:v>
                </c:pt>
                <c:pt idx="1">
                  <c:v>14</c:v>
                </c:pt>
                <c:pt idx="2">
                  <c:v>12</c:v>
                </c:pt>
              </c:numCache>
            </c:numRef>
          </c:val>
        </c:ser>
        <c:dLbls>
          <c:showLegendKey val="0"/>
          <c:showVal val="0"/>
          <c:showCatName val="0"/>
          <c:showSerName val="0"/>
          <c:showPercent val="0"/>
          <c:showBubbleSize val="0"/>
        </c:dLbls>
        <c:gapWidth val="150"/>
        <c:axId val="24525824"/>
        <c:axId val="24915328"/>
      </c:barChart>
      <c:catAx>
        <c:axId val="24525824"/>
        <c:scaling>
          <c:orientation val="minMax"/>
        </c:scaling>
        <c:delete val="0"/>
        <c:axPos val="b"/>
        <c:majorTickMark val="none"/>
        <c:minorTickMark val="none"/>
        <c:tickLblPos val="nextTo"/>
        <c:crossAx val="24915328"/>
        <c:crosses val="autoZero"/>
        <c:auto val="1"/>
        <c:lblAlgn val="ctr"/>
        <c:lblOffset val="100"/>
        <c:noMultiLvlLbl val="0"/>
      </c:catAx>
      <c:valAx>
        <c:axId val="24915328"/>
        <c:scaling>
          <c:orientation val="minMax"/>
        </c:scaling>
        <c:delete val="0"/>
        <c:axPos val="l"/>
        <c:majorGridlines/>
        <c:numFmt formatCode="General" sourceLinked="1"/>
        <c:majorTickMark val="none"/>
        <c:minorTickMark val="none"/>
        <c:tickLblPos val="nextTo"/>
        <c:crossAx val="245258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Local Environment - Overall Key Locations</a:t>
            </a:r>
            <a:endParaRPr lang="en-GB" sz="1400"/>
          </a:p>
        </c:rich>
      </c:tx>
      <c:layout/>
      <c:overlay val="0"/>
    </c:title>
    <c:autoTitleDeleted val="0"/>
    <c:plotArea>
      <c:layout/>
      <c:barChart>
        <c:barDir val="col"/>
        <c:grouping val="clustered"/>
        <c:varyColors val="0"/>
        <c:ser>
          <c:idx val="0"/>
          <c:order val="0"/>
          <c:spPr>
            <a:solidFill>
              <a:srgbClr val="00B050"/>
            </a:solidFill>
          </c:spPr>
          <c:invertIfNegative val="0"/>
          <c:cat>
            <c:strRef>
              <c:f>DG!$C$203:$C$212</c:f>
              <c:strCache>
                <c:ptCount val="10"/>
                <c:pt idx="0">
                  <c:v>Rugby pitch</c:v>
                </c:pt>
                <c:pt idx="1">
                  <c:v>Open space west of pond</c:v>
                </c:pt>
                <c:pt idx="2">
                  <c:v>Within District Centre</c:v>
                </c:pt>
                <c:pt idx="3">
                  <c:v>Pond</c:v>
                </c:pt>
                <c:pt idx="4">
                  <c:v>South of footpath (DC to Hatfield Close)</c:v>
                </c:pt>
                <c:pt idx="5">
                  <c:v>Christ Church complex</c:v>
                </c:pt>
                <c:pt idx="6">
                  <c:v>Bus route</c:v>
                </c:pt>
                <c:pt idx="7">
                  <c:v>Footpath east of pond</c:v>
                </c:pt>
                <c:pt idx="8">
                  <c:v>Car parks</c:v>
                </c:pt>
                <c:pt idx="9">
                  <c:v>The Sticky Wicket PH</c:v>
                </c:pt>
              </c:strCache>
            </c:strRef>
          </c:cat>
          <c:val>
            <c:numRef>
              <c:f>DG!$D$203:$D$212</c:f>
              <c:numCache>
                <c:formatCode>General</c:formatCode>
                <c:ptCount val="10"/>
                <c:pt idx="0">
                  <c:v>61</c:v>
                </c:pt>
                <c:pt idx="1">
                  <c:v>56</c:v>
                </c:pt>
                <c:pt idx="2">
                  <c:v>32</c:v>
                </c:pt>
                <c:pt idx="3">
                  <c:v>27</c:v>
                </c:pt>
                <c:pt idx="4">
                  <c:v>18</c:v>
                </c:pt>
                <c:pt idx="5">
                  <c:v>18</c:v>
                </c:pt>
                <c:pt idx="6">
                  <c:v>16</c:v>
                </c:pt>
                <c:pt idx="7">
                  <c:v>14</c:v>
                </c:pt>
                <c:pt idx="8">
                  <c:v>10</c:v>
                </c:pt>
                <c:pt idx="9">
                  <c:v>7</c:v>
                </c:pt>
              </c:numCache>
            </c:numRef>
          </c:val>
        </c:ser>
        <c:dLbls>
          <c:showLegendKey val="0"/>
          <c:showVal val="0"/>
          <c:showCatName val="0"/>
          <c:showSerName val="0"/>
          <c:showPercent val="0"/>
          <c:showBubbleSize val="0"/>
        </c:dLbls>
        <c:gapWidth val="150"/>
        <c:axId val="23429120"/>
        <c:axId val="23430656"/>
      </c:barChart>
      <c:catAx>
        <c:axId val="23429120"/>
        <c:scaling>
          <c:orientation val="minMax"/>
        </c:scaling>
        <c:delete val="0"/>
        <c:axPos val="b"/>
        <c:majorTickMark val="none"/>
        <c:minorTickMark val="none"/>
        <c:tickLblPos val="nextTo"/>
        <c:crossAx val="23430656"/>
        <c:crosses val="autoZero"/>
        <c:auto val="1"/>
        <c:lblAlgn val="ctr"/>
        <c:lblOffset val="100"/>
        <c:noMultiLvlLbl val="0"/>
      </c:catAx>
      <c:valAx>
        <c:axId val="23430656"/>
        <c:scaling>
          <c:orientation val="minMax"/>
        </c:scaling>
        <c:delete val="0"/>
        <c:axPos val="l"/>
        <c:majorGridlines/>
        <c:numFmt formatCode="General" sourceLinked="1"/>
        <c:majorTickMark val="none"/>
        <c:minorTickMark val="none"/>
        <c:tickLblPos val="nextTo"/>
        <c:crossAx val="23429120"/>
        <c:crosses val="autoZero"/>
        <c:crossBetween val="between"/>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Leisure - Overall Key Issues</a:t>
            </a:r>
            <a:r>
              <a:rPr lang="en-US" sz="1800" b="1" i="0" baseline="0">
                <a:effectLst/>
              </a:rPr>
              <a:t> </a:t>
            </a:r>
            <a:endParaRPr lang="en-GB">
              <a:effectLst/>
            </a:endParaRPr>
          </a:p>
        </c:rich>
      </c:tx>
      <c:layout/>
      <c:overlay val="0"/>
    </c:title>
    <c:autoTitleDeleted val="0"/>
    <c:plotArea>
      <c:layout/>
      <c:barChart>
        <c:barDir val="col"/>
        <c:grouping val="clustered"/>
        <c:varyColors val="0"/>
        <c:ser>
          <c:idx val="0"/>
          <c:order val="0"/>
          <c:spPr>
            <a:solidFill>
              <a:srgbClr val="99FF66"/>
            </a:solidFill>
          </c:spPr>
          <c:invertIfNegative val="0"/>
          <c:cat>
            <c:strRef>
              <c:f>LG!$C$111:$C$125</c:f>
              <c:strCache>
                <c:ptCount val="15"/>
                <c:pt idx="0">
                  <c:v>Football pitch/ goal posts</c:v>
                </c:pt>
                <c:pt idx="1">
                  <c:v>Playground for under 5s</c:v>
                </c:pt>
                <c:pt idx="2">
                  <c:v>6-12 yr olds adventure playground</c:v>
                </c:pt>
                <c:pt idx="3">
                  <c:v>Fishing</c:v>
                </c:pt>
                <c:pt idx="4">
                  <c:v>13+ yrs play area</c:v>
                </c:pt>
                <c:pt idx="5">
                  <c:v>Skateboard/ rollerblade park</c:v>
                </c:pt>
                <c:pt idx="6">
                  <c:v>Day trips</c:v>
                </c:pt>
                <c:pt idx="7">
                  <c:v>Multi-gym</c:v>
                </c:pt>
                <c:pt idx="8">
                  <c:v>Sports complex</c:v>
                </c:pt>
                <c:pt idx="9">
                  <c:v>Basketball facilities</c:v>
                </c:pt>
                <c:pt idx="10">
                  <c:v>Changing rooms needed</c:v>
                </c:pt>
                <c:pt idx="11">
                  <c:v>Floodlights</c:v>
                </c:pt>
                <c:pt idx="12">
                  <c:v>Astro turf</c:v>
                </c:pt>
                <c:pt idx="13">
                  <c:v>Fitness trail - outdoor</c:v>
                </c:pt>
                <c:pt idx="14">
                  <c:v>Youth theatre</c:v>
                </c:pt>
              </c:strCache>
            </c:strRef>
          </c:cat>
          <c:val>
            <c:numRef>
              <c:f>LG!$D$111:$D$125</c:f>
              <c:numCache>
                <c:formatCode>General</c:formatCode>
                <c:ptCount val="15"/>
                <c:pt idx="0">
                  <c:v>30</c:v>
                </c:pt>
                <c:pt idx="1">
                  <c:v>24</c:v>
                </c:pt>
                <c:pt idx="2">
                  <c:v>21</c:v>
                </c:pt>
                <c:pt idx="3">
                  <c:v>14</c:v>
                </c:pt>
                <c:pt idx="4">
                  <c:v>11</c:v>
                </c:pt>
                <c:pt idx="5">
                  <c:v>11</c:v>
                </c:pt>
                <c:pt idx="6">
                  <c:v>10</c:v>
                </c:pt>
                <c:pt idx="7">
                  <c:v>9</c:v>
                </c:pt>
                <c:pt idx="8">
                  <c:v>8</c:v>
                </c:pt>
                <c:pt idx="9">
                  <c:v>7</c:v>
                </c:pt>
                <c:pt idx="10">
                  <c:v>7</c:v>
                </c:pt>
                <c:pt idx="11">
                  <c:v>7</c:v>
                </c:pt>
                <c:pt idx="12">
                  <c:v>5</c:v>
                </c:pt>
                <c:pt idx="13">
                  <c:v>5</c:v>
                </c:pt>
                <c:pt idx="14">
                  <c:v>5</c:v>
                </c:pt>
              </c:numCache>
            </c:numRef>
          </c:val>
        </c:ser>
        <c:dLbls>
          <c:showLegendKey val="0"/>
          <c:showVal val="0"/>
          <c:showCatName val="0"/>
          <c:showSerName val="0"/>
          <c:showPercent val="0"/>
          <c:showBubbleSize val="0"/>
        </c:dLbls>
        <c:gapWidth val="150"/>
        <c:axId val="47379584"/>
        <c:axId val="47381120"/>
      </c:barChart>
      <c:catAx>
        <c:axId val="47379584"/>
        <c:scaling>
          <c:orientation val="minMax"/>
        </c:scaling>
        <c:delete val="0"/>
        <c:axPos val="b"/>
        <c:majorTickMark val="none"/>
        <c:minorTickMark val="none"/>
        <c:tickLblPos val="nextTo"/>
        <c:crossAx val="47381120"/>
        <c:crosses val="autoZero"/>
        <c:auto val="1"/>
        <c:lblAlgn val="ctr"/>
        <c:lblOffset val="100"/>
        <c:noMultiLvlLbl val="0"/>
      </c:catAx>
      <c:valAx>
        <c:axId val="47381120"/>
        <c:scaling>
          <c:orientation val="minMax"/>
        </c:scaling>
        <c:delete val="0"/>
        <c:axPos val="l"/>
        <c:majorGridlines/>
        <c:numFmt formatCode="General" sourceLinked="1"/>
        <c:majorTickMark val="none"/>
        <c:minorTickMark val="none"/>
        <c:tickLblPos val="nextTo"/>
        <c:crossAx val="473795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Leisure - Overall Key Locations </a:t>
            </a:r>
            <a:endParaRPr lang="en-GB" sz="1400">
              <a:effectLst/>
            </a:endParaRPr>
          </a:p>
        </c:rich>
      </c:tx>
      <c:layout/>
      <c:overlay val="0"/>
    </c:title>
    <c:autoTitleDeleted val="0"/>
    <c:plotArea>
      <c:layout/>
      <c:barChart>
        <c:barDir val="col"/>
        <c:grouping val="clustered"/>
        <c:varyColors val="0"/>
        <c:ser>
          <c:idx val="0"/>
          <c:order val="0"/>
          <c:spPr>
            <a:solidFill>
              <a:srgbClr val="99FF66"/>
            </a:solidFill>
          </c:spPr>
          <c:invertIfNegative val="0"/>
          <c:cat>
            <c:strRef>
              <c:f>LG!$C$133:$C$139</c:f>
              <c:strCache>
                <c:ptCount val="7"/>
                <c:pt idx="0">
                  <c:v>Rugby pitch</c:v>
                </c:pt>
                <c:pt idx="1">
                  <c:v>Open space west of pond</c:v>
                </c:pt>
                <c:pt idx="2">
                  <c:v>3G pitch</c:v>
                </c:pt>
                <c:pt idx="3">
                  <c:v>Within District Centre</c:v>
                </c:pt>
                <c:pt idx="4">
                  <c:v>Pond</c:v>
                </c:pt>
                <c:pt idx="5">
                  <c:v>Christ Church complex</c:v>
                </c:pt>
                <c:pt idx="6">
                  <c:v>Footpath east of pond</c:v>
                </c:pt>
              </c:strCache>
            </c:strRef>
          </c:cat>
          <c:val>
            <c:numRef>
              <c:f>LG!$D$133:$D$139</c:f>
              <c:numCache>
                <c:formatCode>General</c:formatCode>
                <c:ptCount val="7"/>
                <c:pt idx="0">
                  <c:v>89</c:v>
                </c:pt>
                <c:pt idx="1">
                  <c:v>39</c:v>
                </c:pt>
                <c:pt idx="2">
                  <c:v>30</c:v>
                </c:pt>
                <c:pt idx="3">
                  <c:v>16</c:v>
                </c:pt>
                <c:pt idx="4">
                  <c:v>13</c:v>
                </c:pt>
                <c:pt idx="5">
                  <c:v>11</c:v>
                </c:pt>
                <c:pt idx="6">
                  <c:v>7</c:v>
                </c:pt>
              </c:numCache>
            </c:numRef>
          </c:val>
        </c:ser>
        <c:dLbls>
          <c:showLegendKey val="0"/>
          <c:showVal val="0"/>
          <c:showCatName val="0"/>
          <c:showSerName val="0"/>
          <c:showPercent val="0"/>
          <c:showBubbleSize val="0"/>
        </c:dLbls>
        <c:gapWidth val="150"/>
        <c:axId val="26058752"/>
        <c:axId val="26060288"/>
      </c:barChart>
      <c:catAx>
        <c:axId val="26058752"/>
        <c:scaling>
          <c:orientation val="minMax"/>
        </c:scaling>
        <c:delete val="0"/>
        <c:axPos val="b"/>
        <c:majorTickMark val="none"/>
        <c:minorTickMark val="none"/>
        <c:tickLblPos val="nextTo"/>
        <c:crossAx val="26060288"/>
        <c:crosses val="autoZero"/>
        <c:auto val="1"/>
        <c:lblAlgn val="ctr"/>
        <c:lblOffset val="100"/>
        <c:noMultiLvlLbl val="0"/>
      </c:catAx>
      <c:valAx>
        <c:axId val="26060288"/>
        <c:scaling>
          <c:orientation val="minMax"/>
        </c:scaling>
        <c:delete val="0"/>
        <c:axPos val="l"/>
        <c:majorGridlines/>
        <c:numFmt formatCode="General" sourceLinked="1"/>
        <c:majorTickMark val="none"/>
        <c:minorTickMark val="none"/>
        <c:tickLblPos val="nextTo"/>
        <c:crossAx val="260587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Crime &amp; Safety - Overall Key Issues </a:t>
            </a:r>
            <a:endParaRPr lang="en-GB" sz="1400">
              <a:effectLst/>
            </a:endParaRPr>
          </a:p>
        </c:rich>
      </c:tx>
      <c:layout/>
      <c:overlay val="0"/>
    </c:title>
    <c:autoTitleDeleted val="0"/>
    <c:plotArea>
      <c:layout/>
      <c:barChart>
        <c:barDir val="col"/>
        <c:grouping val="clustered"/>
        <c:varyColors val="0"/>
        <c:ser>
          <c:idx val="0"/>
          <c:order val="0"/>
          <c:spPr>
            <a:solidFill>
              <a:srgbClr val="FF6600"/>
            </a:solidFill>
          </c:spPr>
          <c:invertIfNegative val="0"/>
          <c:cat>
            <c:strRef>
              <c:f>O!$C$154:$C$169</c:f>
              <c:strCache>
                <c:ptCount val="16"/>
                <c:pt idx="0">
                  <c:v>Young people hanging around</c:v>
                </c:pt>
                <c:pt idx="1">
                  <c:v>I don’t feel safe here</c:v>
                </c:pt>
                <c:pt idx="2">
                  <c:v>Security cameras needed</c:v>
                </c:pt>
                <c:pt idx="3">
                  <c:v>Lighting to be improved</c:v>
                </c:pt>
                <c:pt idx="4">
                  <c:v>People afraid to go out at night</c:v>
                </c:pt>
                <c:pt idx="5">
                  <c:v>Drug taking problem</c:v>
                </c:pt>
                <c:pt idx="6">
                  <c:v>Police - more foot patrols needed</c:v>
                </c:pt>
                <c:pt idx="7">
                  <c:v>I feel safe here</c:v>
                </c:pt>
                <c:pt idx="8">
                  <c:v>Drinking problem</c:v>
                </c:pt>
                <c:pt idx="9">
                  <c:v>Speeding/ dangerous driving</c:v>
                </c:pt>
                <c:pt idx="10">
                  <c:v>Vandalism problem</c:v>
                </c:pt>
                <c:pt idx="11">
                  <c:v>Night noise and rowdiness</c:v>
                </c:pt>
                <c:pt idx="12">
                  <c:v>Drug dealing problem</c:v>
                </c:pt>
                <c:pt idx="13">
                  <c:v>Shrubs need trimming back</c:v>
                </c:pt>
                <c:pt idx="14">
                  <c:v>Alleyways to be closed off</c:v>
                </c:pt>
                <c:pt idx="15">
                  <c:v>Graffiti problem</c:v>
                </c:pt>
              </c:strCache>
            </c:strRef>
          </c:cat>
          <c:val>
            <c:numRef>
              <c:f>O!$D$154:$D$169</c:f>
              <c:numCache>
                <c:formatCode>General</c:formatCode>
                <c:ptCount val="16"/>
                <c:pt idx="0">
                  <c:v>44</c:v>
                </c:pt>
                <c:pt idx="1">
                  <c:v>41</c:v>
                </c:pt>
                <c:pt idx="2">
                  <c:v>24</c:v>
                </c:pt>
                <c:pt idx="3">
                  <c:v>21</c:v>
                </c:pt>
                <c:pt idx="4">
                  <c:v>20</c:v>
                </c:pt>
                <c:pt idx="5">
                  <c:v>16</c:v>
                </c:pt>
                <c:pt idx="6">
                  <c:v>16</c:v>
                </c:pt>
                <c:pt idx="7">
                  <c:v>14</c:v>
                </c:pt>
                <c:pt idx="8">
                  <c:v>12</c:v>
                </c:pt>
                <c:pt idx="9">
                  <c:v>12</c:v>
                </c:pt>
                <c:pt idx="10">
                  <c:v>10</c:v>
                </c:pt>
                <c:pt idx="11">
                  <c:v>8</c:v>
                </c:pt>
                <c:pt idx="12">
                  <c:v>7</c:v>
                </c:pt>
                <c:pt idx="13">
                  <c:v>7</c:v>
                </c:pt>
                <c:pt idx="14">
                  <c:v>5</c:v>
                </c:pt>
                <c:pt idx="15">
                  <c:v>5</c:v>
                </c:pt>
              </c:numCache>
            </c:numRef>
          </c:val>
        </c:ser>
        <c:dLbls>
          <c:showLegendKey val="0"/>
          <c:showVal val="0"/>
          <c:showCatName val="0"/>
          <c:showSerName val="0"/>
          <c:showPercent val="0"/>
          <c:showBubbleSize val="0"/>
        </c:dLbls>
        <c:gapWidth val="150"/>
        <c:axId val="79360768"/>
        <c:axId val="79362304"/>
      </c:barChart>
      <c:catAx>
        <c:axId val="79360768"/>
        <c:scaling>
          <c:orientation val="minMax"/>
        </c:scaling>
        <c:delete val="0"/>
        <c:axPos val="b"/>
        <c:majorTickMark val="none"/>
        <c:minorTickMark val="none"/>
        <c:tickLblPos val="nextTo"/>
        <c:crossAx val="79362304"/>
        <c:crosses val="autoZero"/>
        <c:auto val="1"/>
        <c:lblAlgn val="ctr"/>
        <c:lblOffset val="100"/>
        <c:noMultiLvlLbl val="0"/>
      </c:catAx>
      <c:valAx>
        <c:axId val="79362304"/>
        <c:scaling>
          <c:orientation val="minMax"/>
        </c:scaling>
        <c:delete val="0"/>
        <c:axPos val="l"/>
        <c:majorGridlines/>
        <c:numFmt formatCode="General" sourceLinked="1"/>
        <c:majorTickMark val="none"/>
        <c:minorTickMark val="none"/>
        <c:tickLblPos val="nextTo"/>
        <c:crossAx val="793607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Crime &amp; Safety - Overall Key Locations</a:t>
            </a:r>
            <a:endParaRPr lang="en-GB" sz="1400"/>
          </a:p>
        </c:rich>
      </c:tx>
      <c:layout/>
      <c:overlay val="0"/>
    </c:title>
    <c:autoTitleDeleted val="0"/>
    <c:plotArea>
      <c:layout/>
      <c:barChart>
        <c:barDir val="col"/>
        <c:grouping val="clustered"/>
        <c:varyColors val="0"/>
        <c:ser>
          <c:idx val="0"/>
          <c:order val="0"/>
          <c:spPr>
            <a:solidFill>
              <a:srgbClr val="FF6600"/>
            </a:solidFill>
          </c:spPr>
          <c:invertIfNegative val="0"/>
          <c:cat>
            <c:strRef>
              <c:f>O!$C$176:$C$185</c:f>
              <c:strCache>
                <c:ptCount val="10"/>
                <c:pt idx="0">
                  <c:v>Within District Centre</c:v>
                </c:pt>
                <c:pt idx="1">
                  <c:v>Christ Church complex</c:v>
                </c:pt>
                <c:pt idx="2">
                  <c:v>Car parks</c:v>
                </c:pt>
                <c:pt idx="3">
                  <c:v>Bus route</c:v>
                </c:pt>
                <c:pt idx="4">
                  <c:v>Open space west of pond</c:v>
                </c:pt>
                <c:pt idx="5">
                  <c:v>Footpath (DC to Hatfield Close)</c:v>
                </c:pt>
                <c:pt idx="6">
                  <c:v>The Sticky Wicket PH</c:v>
                </c:pt>
                <c:pt idx="7">
                  <c:v>Footpath east of pond</c:v>
                </c:pt>
                <c:pt idx="8">
                  <c:v>Green Sward Lane</c:v>
                </c:pt>
                <c:pt idx="9">
                  <c:v>Footpath between DCs</c:v>
                </c:pt>
              </c:strCache>
            </c:strRef>
          </c:cat>
          <c:val>
            <c:numRef>
              <c:f>O!$D$176:$D$185</c:f>
              <c:numCache>
                <c:formatCode>General</c:formatCode>
                <c:ptCount val="10"/>
                <c:pt idx="0">
                  <c:v>110</c:v>
                </c:pt>
                <c:pt idx="1">
                  <c:v>24</c:v>
                </c:pt>
                <c:pt idx="2">
                  <c:v>19</c:v>
                </c:pt>
                <c:pt idx="3">
                  <c:v>19</c:v>
                </c:pt>
                <c:pt idx="4">
                  <c:v>17</c:v>
                </c:pt>
                <c:pt idx="5">
                  <c:v>12</c:v>
                </c:pt>
                <c:pt idx="6">
                  <c:v>12</c:v>
                </c:pt>
                <c:pt idx="7">
                  <c:v>11</c:v>
                </c:pt>
                <c:pt idx="8">
                  <c:v>8</c:v>
                </c:pt>
                <c:pt idx="9">
                  <c:v>7</c:v>
                </c:pt>
              </c:numCache>
            </c:numRef>
          </c:val>
        </c:ser>
        <c:dLbls>
          <c:showLegendKey val="0"/>
          <c:showVal val="0"/>
          <c:showCatName val="0"/>
          <c:showSerName val="0"/>
          <c:showPercent val="0"/>
          <c:showBubbleSize val="0"/>
        </c:dLbls>
        <c:gapWidth val="150"/>
        <c:axId val="25429120"/>
        <c:axId val="25486080"/>
      </c:barChart>
      <c:catAx>
        <c:axId val="25429120"/>
        <c:scaling>
          <c:orientation val="minMax"/>
        </c:scaling>
        <c:delete val="0"/>
        <c:axPos val="b"/>
        <c:majorTickMark val="none"/>
        <c:minorTickMark val="none"/>
        <c:tickLblPos val="nextTo"/>
        <c:crossAx val="25486080"/>
        <c:crosses val="autoZero"/>
        <c:auto val="1"/>
        <c:lblAlgn val="ctr"/>
        <c:lblOffset val="100"/>
        <c:noMultiLvlLbl val="0"/>
      </c:catAx>
      <c:valAx>
        <c:axId val="25486080"/>
        <c:scaling>
          <c:orientation val="minMax"/>
        </c:scaling>
        <c:delete val="0"/>
        <c:axPos val="l"/>
        <c:majorGridlines/>
        <c:numFmt formatCode="General" sourceLinked="1"/>
        <c:majorTickMark val="none"/>
        <c:minorTickMark val="none"/>
        <c:tickLblPos val="nextTo"/>
        <c:crossAx val="254291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Community Facilities - Overall Key Issues</a:t>
            </a:r>
            <a:endParaRPr lang="en-GB" sz="1400"/>
          </a:p>
        </c:rich>
      </c:tx>
      <c:layout/>
      <c:overlay val="0"/>
    </c:title>
    <c:autoTitleDeleted val="0"/>
    <c:plotArea>
      <c:layout/>
      <c:barChart>
        <c:barDir val="col"/>
        <c:grouping val="clustered"/>
        <c:varyColors val="0"/>
        <c:ser>
          <c:idx val="0"/>
          <c:order val="0"/>
          <c:spPr>
            <a:solidFill>
              <a:srgbClr val="FF6699"/>
            </a:solidFill>
          </c:spPr>
          <c:invertIfNegative val="0"/>
          <c:cat>
            <c:strRef>
              <c:f>P!$C$75:$C$84</c:f>
              <c:strCache>
                <c:ptCount val="10"/>
                <c:pt idx="0">
                  <c:v>Community café</c:v>
                </c:pt>
                <c:pt idx="1">
                  <c:v>Toilets with accessible facilities</c:v>
                </c:pt>
                <c:pt idx="2">
                  <c:v>Community centre</c:v>
                </c:pt>
                <c:pt idx="3">
                  <c:v>Community notice board wanted</c:v>
                </c:pt>
                <c:pt idx="4">
                  <c:v>Elderly people's club/ day centre</c:v>
                </c:pt>
                <c:pt idx="5">
                  <c:v>Cash point located safely</c:v>
                </c:pt>
                <c:pt idx="6">
                  <c:v>Disabled access needed</c:v>
                </c:pt>
                <c:pt idx="7">
                  <c:v>Library - permanent one</c:v>
                </c:pt>
                <c:pt idx="8">
                  <c:v>Supermarket wanted/ keep it</c:v>
                </c:pt>
                <c:pt idx="9">
                  <c:v>Youth club/ centre</c:v>
                </c:pt>
              </c:strCache>
            </c:strRef>
          </c:cat>
          <c:val>
            <c:numRef>
              <c:f>P!$D$75:$D$84</c:f>
              <c:numCache>
                <c:formatCode>General</c:formatCode>
                <c:ptCount val="10"/>
                <c:pt idx="0">
                  <c:v>12</c:v>
                </c:pt>
                <c:pt idx="1">
                  <c:v>11</c:v>
                </c:pt>
                <c:pt idx="2">
                  <c:v>10</c:v>
                </c:pt>
                <c:pt idx="3">
                  <c:v>9</c:v>
                </c:pt>
                <c:pt idx="4">
                  <c:v>9</c:v>
                </c:pt>
                <c:pt idx="5">
                  <c:v>8</c:v>
                </c:pt>
                <c:pt idx="6">
                  <c:v>6</c:v>
                </c:pt>
                <c:pt idx="7">
                  <c:v>6</c:v>
                </c:pt>
                <c:pt idx="8">
                  <c:v>6</c:v>
                </c:pt>
                <c:pt idx="9">
                  <c:v>6</c:v>
                </c:pt>
              </c:numCache>
            </c:numRef>
          </c:val>
        </c:ser>
        <c:dLbls>
          <c:showLegendKey val="0"/>
          <c:showVal val="0"/>
          <c:showCatName val="0"/>
          <c:showSerName val="0"/>
          <c:showPercent val="0"/>
          <c:showBubbleSize val="0"/>
        </c:dLbls>
        <c:gapWidth val="150"/>
        <c:axId val="80383360"/>
        <c:axId val="80409728"/>
      </c:barChart>
      <c:catAx>
        <c:axId val="80383360"/>
        <c:scaling>
          <c:orientation val="minMax"/>
        </c:scaling>
        <c:delete val="0"/>
        <c:axPos val="b"/>
        <c:majorTickMark val="none"/>
        <c:minorTickMark val="none"/>
        <c:tickLblPos val="nextTo"/>
        <c:crossAx val="80409728"/>
        <c:crosses val="autoZero"/>
        <c:auto val="1"/>
        <c:lblAlgn val="ctr"/>
        <c:lblOffset val="100"/>
        <c:noMultiLvlLbl val="0"/>
      </c:catAx>
      <c:valAx>
        <c:axId val="80409728"/>
        <c:scaling>
          <c:orientation val="minMax"/>
        </c:scaling>
        <c:delete val="0"/>
        <c:axPos val="l"/>
        <c:majorGridlines/>
        <c:numFmt formatCode="General" sourceLinked="1"/>
        <c:majorTickMark val="none"/>
        <c:minorTickMark val="none"/>
        <c:tickLblPos val="nextTo"/>
        <c:crossAx val="8038336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Matchborough District Centre</a:t>
            </a:r>
            <a:endParaRPr lang="en-GB" sz="1400">
              <a:effectLst/>
            </a:endParaRPr>
          </a:p>
          <a:p>
            <a:pPr>
              <a:defRPr/>
            </a:pPr>
            <a:r>
              <a:rPr lang="en-US" sz="1400" b="1" i="0" baseline="0">
                <a:effectLst/>
              </a:rPr>
              <a:t>Community Facilities - Overall Key Locations</a:t>
            </a:r>
            <a:endParaRPr lang="en-GB" sz="1400">
              <a:effectLst/>
            </a:endParaRPr>
          </a:p>
        </c:rich>
      </c:tx>
      <c:layout/>
      <c:overlay val="0"/>
    </c:title>
    <c:autoTitleDeleted val="0"/>
    <c:plotArea>
      <c:layout/>
      <c:barChart>
        <c:barDir val="col"/>
        <c:grouping val="clustered"/>
        <c:varyColors val="0"/>
        <c:ser>
          <c:idx val="0"/>
          <c:order val="0"/>
          <c:spPr>
            <a:solidFill>
              <a:srgbClr val="FF6699"/>
            </a:solidFill>
          </c:spPr>
          <c:invertIfNegative val="0"/>
          <c:cat>
            <c:strRef>
              <c:f>P!$C$93:$C$95</c:f>
              <c:strCache>
                <c:ptCount val="3"/>
                <c:pt idx="0">
                  <c:v>Within District Centre</c:v>
                </c:pt>
                <c:pt idx="1">
                  <c:v>Open space west of pond</c:v>
                </c:pt>
                <c:pt idx="2">
                  <c:v>Christ Church complex</c:v>
                </c:pt>
              </c:strCache>
            </c:strRef>
          </c:cat>
          <c:val>
            <c:numRef>
              <c:f>P!$D$93:$D$95</c:f>
              <c:numCache>
                <c:formatCode>General</c:formatCode>
                <c:ptCount val="3"/>
                <c:pt idx="0">
                  <c:v>98</c:v>
                </c:pt>
                <c:pt idx="1">
                  <c:v>10</c:v>
                </c:pt>
                <c:pt idx="2">
                  <c:v>10</c:v>
                </c:pt>
              </c:numCache>
            </c:numRef>
          </c:val>
        </c:ser>
        <c:dLbls>
          <c:showLegendKey val="0"/>
          <c:showVal val="0"/>
          <c:showCatName val="0"/>
          <c:showSerName val="0"/>
          <c:showPercent val="0"/>
          <c:showBubbleSize val="0"/>
        </c:dLbls>
        <c:gapWidth val="150"/>
        <c:axId val="30139520"/>
        <c:axId val="30144768"/>
      </c:barChart>
      <c:catAx>
        <c:axId val="30139520"/>
        <c:scaling>
          <c:orientation val="minMax"/>
        </c:scaling>
        <c:delete val="0"/>
        <c:axPos val="b"/>
        <c:majorTickMark val="none"/>
        <c:minorTickMark val="none"/>
        <c:tickLblPos val="nextTo"/>
        <c:crossAx val="30144768"/>
        <c:crosses val="autoZero"/>
        <c:auto val="1"/>
        <c:lblAlgn val="ctr"/>
        <c:lblOffset val="100"/>
        <c:noMultiLvlLbl val="0"/>
      </c:catAx>
      <c:valAx>
        <c:axId val="30144768"/>
        <c:scaling>
          <c:orientation val="minMax"/>
        </c:scaling>
        <c:delete val="0"/>
        <c:axPos val="l"/>
        <c:majorGridlines/>
        <c:numFmt formatCode="General" sourceLinked="1"/>
        <c:majorTickMark val="none"/>
        <c:minorTickMark val="none"/>
        <c:tickLblPos val="nextTo"/>
        <c:crossAx val="301395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16</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Redditch Borough Council</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grimmett</dc:creator>
  <cp:lastModifiedBy>Alison grimmett</cp:lastModifiedBy>
  <cp:revision>14</cp:revision>
  <dcterms:created xsi:type="dcterms:W3CDTF">2016-12-01T10:30:00Z</dcterms:created>
  <dcterms:modified xsi:type="dcterms:W3CDTF">2016-12-05T09:49:00Z</dcterms:modified>
</cp:coreProperties>
</file>