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6D8BD" w14:textId="5107D030" w:rsidR="00E042DE" w:rsidRPr="00E042DE" w:rsidRDefault="008A722F" w:rsidP="00E042DE">
      <w:pPr>
        <w:jc w:val="center"/>
        <w:rPr>
          <w:rFonts w:ascii="Arial" w:hAnsi="Arial" w:cs="Arial"/>
          <w:b/>
          <w:bCs/>
          <w:u w:val="single"/>
        </w:rPr>
      </w:pPr>
      <w:r>
        <w:rPr>
          <w:rFonts w:ascii="Arial" w:hAnsi="Arial" w:cs="Arial"/>
          <w:b/>
          <w:bCs/>
          <w:u w:val="single"/>
        </w:rPr>
        <w:t>Redditch Borough</w:t>
      </w:r>
      <w:r w:rsidR="00E042DE" w:rsidRPr="00E042DE">
        <w:rPr>
          <w:rFonts w:ascii="Arial" w:hAnsi="Arial" w:cs="Arial"/>
          <w:b/>
          <w:bCs/>
          <w:u w:val="single"/>
        </w:rPr>
        <w:t xml:space="preserve"> Council</w:t>
      </w:r>
    </w:p>
    <w:p w14:paraId="0AEF1F7F" w14:textId="14D9EC31" w:rsidR="00E042DE" w:rsidRPr="00E042DE" w:rsidRDefault="00E042DE" w:rsidP="00E042DE">
      <w:pPr>
        <w:jc w:val="center"/>
        <w:rPr>
          <w:rFonts w:ascii="Arial" w:hAnsi="Arial" w:cs="Arial"/>
          <w:b/>
          <w:bCs/>
          <w:u w:val="single"/>
        </w:rPr>
      </w:pPr>
      <w:r w:rsidRPr="00E042DE">
        <w:rPr>
          <w:rFonts w:ascii="Arial" w:hAnsi="Arial" w:cs="Arial"/>
          <w:b/>
          <w:bCs/>
          <w:u w:val="single"/>
        </w:rPr>
        <w:t>Notice of General Exception in Respect of a Key Decision</w:t>
      </w:r>
    </w:p>
    <w:p w14:paraId="076C96DE" w14:textId="3E2E5470" w:rsidR="00E042DE" w:rsidRDefault="00E042DE" w:rsidP="00E042DE">
      <w:pPr>
        <w:rPr>
          <w:rFonts w:ascii="Arial" w:hAnsi="Arial" w:cs="Arial"/>
        </w:rPr>
      </w:pPr>
      <w:r>
        <w:rPr>
          <w:rFonts w:ascii="Arial" w:hAnsi="Arial" w:cs="Arial"/>
        </w:rPr>
        <w:t>Notice is hereby given, in accordance with Section 10 of the Local Authorities (Executive Arrangements) (Meetings and Access to Information) (England) Regulations 2012 of the following Key Decision which is due to be taken under General Exception rules.</w:t>
      </w:r>
    </w:p>
    <w:tbl>
      <w:tblPr>
        <w:tblStyle w:val="TableGrid"/>
        <w:tblW w:w="0" w:type="auto"/>
        <w:tblLook w:val="04A0" w:firstRow="1" w:lastRow="0" w:firstColumn="1" w:lastColumn="0" w:noHBand="0" w:noVBand="1"/>
      </w:tblPr>
      <w:tblGrid>
        <w:gridCol w:w="3823"/>
        <w:gridCol w:w="5193"/>
      </w:tblGrid>
      <w:tr w:rsidR="00E042DE" w14:paraId="409BCCE6" w14:textId="77777777" w:rsidTr="007A65D1">
        <w:tc>
          <w:tcPr>
            <w:tcW w:w="3823" w:type="dxa"/>
          </w:tcPr>
          <w:p w14:paraId="43774AD2" w14:textId="77777777" w:rsidR="00E042DE" w:rsidRPr="00E042DE" w:rsidRDefault="00E042DE" w:rsidP="00E042DE">
            <w:pPr>
              <w:rPr>
                <w:rFonts w:ascii="Arial" w:hAnsi="Arial" w:cs="Arial"/>
                <w:b/>
                <w:bCs/>
              </w:rPr>
            </w:pPr>
          </w:p>
          <w:p w14:paraId="4CC85D00" w14:textId="77777777" w:rsidR="00E042DE" w:rsidRPr="00E042DE" w:rsidRDefault="00E042DE" w:rsidP="00E042DE">
            <w:pPr>
              <w:rPr>
                <w:rFonts w:ascii="Arial" w:hAnsi="Arial" w:cs="Arial"/>
                <w:b/>
                <w:bCs/>
              </w:rPr>
            </w:pPr>
            <w:r w:rsidRPr="00E042DE">
              <w:rPr>
                <w:rFonts w:ascii="Arial" w:hAnsi="Arial" w:cs="Arial"/>
                <w:b/>
                <w:bCs/>
              </w:rPr>
              <w:t>The matter in respect of which a key decision will be made</w:t>
            </w:r>
          </w:p>
          <w:p w14:paraId="2FF86F2E" w14:textId="0DD51AF1" w:rsidR="00E042DE" w:rsidRPr="00E042DE" w:rsidRDefault="00E042DE" w:rsidP="00E042DE">
            <w:pPr>
              <w:rPr>
                <w:rFonts w:ascii="Arial" w:hAnsi="Arial" w:cs="Arial"/>
                <w:b/>
                <w:bCs/>
              </w:rPr>
            </w:pPr>
          </w:p>
        </w:tc>
        <w:tc>
          <w:tcPr>
            <w:tcW w:w="5193" w:type="dxa"/>
          </w:tcPr>
          <w:p w14:paraId="6E6156C9" w14:textId="77777777" w:rsidR="00E042DE" w:rsidRDefault="00E042DE" w:rsidP="00E042DE">
            <w:pPr>
              <w:rPr>
                <w:rFonts w:ascii="Arial" w:hAnsi="Arial" w:cs="Arial"/>
              </w:rPr>
            </w:pPr>
          </w:p>
          <w:p w14:paraId="68CDF779" w14:textId="3E5AC087" w:rsidR="00E042DE" w:rsidRDefault="0077371C" w:rsidP="00E042DE">
            <w:pPr>
              <w:rPr>
                <w:rFonts w:ascii="Arial" w:hAnsi="Arial" w:cs="Arial"/>
              </w:rPr>
            </w:pPr>
            <w:r>
              <w:rPr>
                <w:rFonts w:ascii="Arial" w:hAnsi="Arial" w:cs="Arial"/>
              </w:rPr>
              <w:t>Rubicon Budget Report 2026/27</w:t>
            </w:r>
          </w:p>
        </w:tc>
      </w:tr>
      <w:tr w:rsidR="00E042DE" w14:paraId="471B9967" w14:textId="77777777" w:rsidTr="007A65D1">
        <w:tc>
          <w:tcPr>
            <w:tcW w:w="3823" w:type="dxa"/>
          </w:tcPr>
          <w:p w14:paraId="01BE98B5" w14:textId="77777777" w:rsidR="00E042DE" w:rsidRPr="00E042DE" w:rsidRDefault="00E042DE" w:rsidP="00E042DE">
            <w:pPr>
              <w:rPr>
                <w:rFonts w:ascii="Arial" w:hAnsi="Arial" w:cs="Arial"/>
                <w:b/>
                <w:bCs/>
              </w:rPr>
            </w:pPr>
          </w:p>
          <w:p w14:paraId="5CA8E008" w14:textId="29485277" w:rsidR="00E042DE" w:rsidRPr="00E042DE" w:rsidRDefault="00E042DE" w:rsidP="00E042DE">
            <w:pPr>
              <w:rPr>
                <w:rFonts w:ascii="Arial" w:hAnsi="Arial" w:cs="Arial"/>
                <w:b/>
                <w:bCs/>
              </w:rPr>
            </w:pPr>
            <w:r w:rsidRPr="00E042DE">
              <w:rPr>
                <w:rFonts w:ascii="Arial" w:hAnsi="Arial" w:cs="Arial"/>
                <w:b/>
                <w:bCs/>
              </w:rPr>
              <w:t>Title of the body or individual making the decision</w:t>
            </w:r>
          </w:p>
          <w:p w14:paraId="34107BA2" w14:textId="77777777" w:rsidR="00E042DE" w:rsidRPr="00E042DE" w:rsidRDefault="00E042DE" w:rsidP="00E042DE">
            <w:pPr>
              <w:rPr>
                <w:rFonts w:ascii="Arial" w:hAnsi="Arial" w:cs="Arial"/>
                <w:b/>
                <w:bCs/>
              </w:rPr>
            </w:pPr>
          </w:p>
        </w:tc>
        <w:tc>
          <w:tcPr>
            <w:tcW w:w="5193" w:type="dxa"/>
          </w:tcPr>
          <w:p w14:paraId="7DE0ABF6" w14:textId="77777777" w:rsidR="00E042DE" w:rsidRDefault="00E042DE" w:rsidP="00E042DE">
            <w:pPr>
              <w:rPr>
                <w:rFonts w:ascii="Arial" w:hAnsi="Arial" w:cs="Arial"/>
              </w:rPr>
            </w:pPr>
          </w:p>
          <w:p w14:paraId="7763B4CA" w14:textId="77C91FDF" w:rsidR="00E042DE" w:rsidRDefault="0077371C" w:rsidP="00E042DE">
            <w:pPr>
              <w:rPr>
                <w:rFonts w:ascii="Arial" w:hAnsi="Arial" w:cs="Arial"/>
              </w:rPr>
            </w:pPr>
            <w:r>
              <w:rPr>
                <w:rFonts w:ascii="Arial" w:hAnsi="Arial" w:cs="Arial"/>
              </w:rPr>
              <w:t>The Shareholders Committee</w:t>
            </w:r>
          </w:p>
        </w:tc>
      </w:tr>
      <w:tr w:rsidR="00E042DE" w14:paraId="4AB9799F" w14:textId="77777777" w:rsidTr="007A65D1">
        <w:tc>
          <w:tcPr>
            <w:tcW w:w="3823" w:type="dxa"/>
          </w:tcPr>
          <w:p w14:paraId="0D715F13" w14:textId="77777777" w:rsidR="00E042DE" w:rsidRPr="00E042DE" w:rsidRDefault="00E042DE" w:rsidP="00E042DE">
            <w:pPr>
              <w:rPr>
                <w:rFonts w:ascii="Arial" w:hAnsi="Arial" w:cs="Arial"/>
                <w:b/>
                <w:bCs/>
              </w:rPr>
            </w:pPr>
          </w:p>
          <w:p w14:paraId="6076507F" w14:textId="538CF0B8" w:rsidR="00E042DE" w:rsidRPr="00E042DE" w:rsidRDefault="00E042DE" w:rsidP="00E042DE">
            <w:pPr>
              <w:rPr>
                <w:rFonts w:ascii="Arial" w:hAnsi="Arial" w:cs="Arial"/>
                <w:b/>
                <w:bCs/>
              </w:rPr>
            </w:pPr>
            <w:r w:rsidRPr="00E042DE">
              <w:rPr>
                <w:rFonts w:ascii="Arial" w:hAnsi="Arial" w:cs="Arial"/>
                <w:b/>
                <w:bCs/>
              </w:rPr>
              <w:t>Date the decision will be taken</w:t>
            </w:r>
          </w:p>
          <w:p w14:paraId="08D8CD2D" w14:textId="77777777" w:rsidR="00E042DE" w:rsidRPr="00E042DE" w:rsidRDefault="00E042DE" w:rsidP="00E042DE">
            <w:pPr>
              <w:rPr>
                <w:rFonts w:ascii="Arial" w:hAnsi="Arial" w:cs="Arial"/>
                <w:b/>
                <w:bCs/>
              </w:rPr>
            </w:pPr>
          </w:p>
        </w:tc>
        <w:tc>
          <w:tcPr>
            <w:tcW w:w="5193" w:type="dxa"/>
          </w:tcPr>
          <w:p w14:paraId="316BA397" w14:textId="77777777" w:rsidR="00E042DE" w:rsidRDefault="00E042DE" w:rsidP="00E042DE">
            <w:pPr>
              <w:rPr>
                <w:rFonts w:ascii="Arial" w:hAnsi="Arial" w:cs="Arial"/>
              </w:rPr>
            </w:pPr>
          </w:p>
          <w:p w14:paraId="0043F924" w14:textId="6FED785F" w:rsidR="00E042DE" w:rsidRDefault="0077371C" w:rsidP="00E042DE">
            <w:pPr>
              <w:rPr>
                <w:rFonts w:ascii="Arial" w:hAnsi="Arial" w:cs="Arial"/>
              </w:rPr>
            </w:pPr>
            <w:r>
              <w:rPr>
                <w:rFonts w:ascii="Arial" w:hAnsi="Arial" w:cs="Arial"/>
              </w:rPr>
              <w:t>31</w:t>
            </w:r>
            <w:r w:rsidRPr="0077371C">
              <w:rPr>
                <w:rFonts w:ascii="Arial" w:hAnsi="Arial" w:cs="Arial"/>
                <w:vertAlign w:val="superscript"/>
              </w:rPr>
              <w:t>st</w:t>
            </w:r>
            <w:r>
              <w:rPr>
                <w:rFonts w:ascii="Arial" w:hAnsi="Arial" w:cs="Arial"/>
              </w:rPr>
              <w:t xml:space="preserve"> March 2026</w:t>
            </w:r>
          </w:p>
        </w:tc>
      </w:tr>
      <w:tr w:rsidR="00E042DE" w14:paraId="2B4A809C" w14:textId="77777777" w:rsidTr="007A65D1">
        <w:tc>
          <w:tcPr>
            <w:tcW w:w="3823" w:type="dxa"/>
          </w:tcPr>
          <w:p w14:paraId="09919CBC" w14:textId="77777777" w:rsidR="00E042DE" w:rsidRDefault="00E042DE" w:rsidP="00E042DE">
            <w:pPr>
              <w:rPr>
                <w:rFonts w:ascii="Arial" w:hAnsi="Arial" w:cs="Arial"/>
                <w:b/>
                <w:bCs/>
              </w:rPr>
            </w:pPr>
          </w:p>
          <w:p w14:paraId="71386120" w14:textId="645688DF" w:rsidR="00E042DE" w:rsidRDefault="00E042DE" w:rsidP="00E042DE">
            <w:pPr>
              <w:rPr>
                <w:rFonts w:ascii="Arial" w:hAnsi="Arial" w:cs="Arial"/>
                <w:b/>
                <w:bCs/>
              </w:rPr>
            </w:pPr>
            <w:r>
              <w:rPr>
                <w:rFonts w:ascii="Arial" w:hAnsi="Arial" w:cs="Arial"/>
                <w:b/>
                <w:bCs/>
              </w:rPr>
              <w:t>Will any exempt information inform the decision?</w:t>
            </w:r>
          </w:p>
          <w:p w14:paraId="487BB4A9" w14:textId="77777777" w:rsidR="00E042DE" w:rsidRPr="00E042DE" w:rsidRDefault="00E042DE" w:rsidP="00E042DE">
            <w:pPr>
              <w:rPr>
                <w:rFonts w:ascii="Arial" w:hAnsi="Arial" w:cs="Arial"/>
                <w:b/>
                <w:bCs/>
              </w:rPr>
            </w:pPr>
          </w:p>
        </w:tc>
        <w:tc>
          <w:tcPr>
            <w:tcW w:w="5193" w:type="dxa"/>
          </w:tcPr>
          <w:p w14:paraId="7F9768E2" w14:textId="77777777" w:rsidR="00E042DE" w:rsidRDefault="00E042DE" w:rsidP="00E042DE">
            <w:pPr>
              <w:rPr>
                <w:rFonts w:ascii="Arial" w:hAnsi="Arial" w:cs="Arial"/>
              </w:rPr>
            </w:pPr>
          </w:p>
          <w:p w14:paraId="497586A6" w14:textId="77777777" w:rsidR="0077371C" w:rsidRDefault="0077371C" w:rsidP="0077371C">
            <w:pPr>
              <w:rPr>
                <w:rFonts w:ascii="Arial" w:hAnsi="Arial" w:cs="Arial"/>
              </w:rPr>
            </w:pPr>
            <w:r>
              <w:rPr>
                <w:rFonts w:ascii="Arial" w:hAnsi="Arial" w:cs="Arial"/>
              </w:rPr>
              <w:t>Yes, the report will be partially exempt under paragraph 3 of Part 1 of Schedule 12A of the Local Government Act 1972.</w:t>
            </w:r>
          </w:p>
          <w:p w14:paraId="4CCE8ED6" w14:textId="32FE8787" w:rsidR="00E042DE" w:rsidRDefault="00E042DE" w:rsidP="00E042DE">
            <w:pPr>
              <w:rPr>
                <w:rFonts w:ascii="Arial" w:hAnsi="Arial" w:cs="Arial"/>
              </w:rPr>
            </w:pPr>
          </w:p>
        </w:tc>
      </w:tr>
      <w:tr w:rsidR="00E042DE" w14:paraId="02CD18E1" w14:textId="77777777" w:rsidTr="007A65D1">
        <w:tc>
          <w:tcPr>
            <w:tcW w:w="3823" w:type="dxa"/>
          </w:tcPr>
          <w:p w14:paraId="171BDA42" w14:textId="77777777" w:rsidR="00E042DE" w:rsidRDefault="00E042DE" w:rsidP="00E042DE">
            <w:pPr>
              <w:rPr>
                <w:rFonts w:ascii="Arial" w:hAnsi="Arial" w:cs="Arial"/>
                <w:b/>
                <w:bCs/>
              </w:rPr>
            </w:pPr>
          </w:p>
          <w:p w14:paraId="53F47D4B" w14:textId="77777777" w:rsidR="00E042DE" w:rsidRDefault="00294258" w:rsidP="00294258">
            <w:pPr>
              <w:overflowPunct w:val="0"/>
              <w:autoSpaceDE w:val="0"/>
              <w:autoSpaceDN w:val="0"/>
              <w:adjustRightInd w:val="0"/>
              <w:textAlignment w:val="baseline"/>
              <w:rPr>
                <w:rFonts w:ascii="Arial" w:hAnsi="Arial" w:cs="Arial"/>
                <w:b/>
                <w:bCs/>
              </w:rPr>
            </w:pPr>
            <w:r>
              <w:rPr>
                <w:rFonts w:ascii="Arial" w:hAnsi="Arial" w:cs="Arial"/>
                <w:b/>
                <w:bCs/>
              </w:rPr>
              <w:t>Documents submitted to decision maker / background papers</w:t>
            </w:r>
          </w:p>
          <w:p w14:paraId="6434A47B" w14:textId="166DD0E5" w:rsidR="00294258" w:rsidRPr="00E042DE" w:rsidRDefault="00294258" w:rsidP="00294258">
            <w:pPr>
              <w:overflowPunct w:val="0"/>
              <w:autoSpaceDE w:val="0"/>
              <w:autoSpaceDN w:val="0"/>
              <w:adjustRightInd w:val="0"/>
              <w:textAlignment w:val="baseline"/>
              <w:rPr>
                <w:rFonts w:ascii="Arial" w:hAnsi="Arial" w:cs="Arial"/>
                <w:b/>
                <w:bCs/>
              </w:rPr>
            </w:pPr>
          </w:p>
        </w:tc>
        <w:tc>
          <w:tcPr>
            <w:tcW w:w="5193" w:type="dxa"/>
          </w:tcPr>
          <w:p w14:paraId="712ADA7F" w14:textId="77777777" w:rsidR="00294258" w:rsidRDefault="00294258" w:rsidP="00294258">
            <w:pPr>
              <w:overflowPunct w:val="0"/>
              <w:autoSpaceDE w:val="0"/>
              <w:autoSpaceDN w:val="0"/>
              <w:adjustRightInd w:val="0"/>
              <w:textAlignment w:val="baseline"/>
              <w:rPr>
                <w:rFonts w:ascii="Arial" w:eastAsia="Times New Roman" w:hAnsi="Arial" w:cs="Times New Roman"/>
                <w:bCs/>
                <w:kern w:val="0"/>
                <w:szCs w:val="20"/>
                <w14:ligatures w14:val="none"/>
              </w:rPr>
            </w:pPr>
            <w:bookmarkStart w:id="0" w:name="_Hlk203145245_0"/>
          </w:p>
          <w:bookmarkEnd w:id="0"/>
          <w:p w14:paraId="4625D45C" w14:textId="77777777" w:rsidR="00E042DE" w:rsidRDefault="0077371C" w:rsidP="008A722F">
            <w:pPr>
              <w:overflowPunct w:val="0"/>
              <w:autoSpaceDE w:val="0"/>
              <w:autoSpaceDN w:val="0"/>
              <w:adjustRightInd w:val="0"/>
              <w:textAlignment w:val="baseline"/>
              <w:rPr>
                <w:rFonts w:ascii="Arial" w:hAnsi="Arial" w:cs="Arial"/>
              </w:rPr>
            </w:pPr>
            <w:r>
              <w:rPr>
                <w:rFonts w:ascii="Arial" w:hAnsi="Arial" w:cs="Arial"/>
              </w:rPr>
              <w:t>Report of the Assistant Director of Planning, Leisure and Culture Services</w:t>
            </w:r>
          </w:p>
          <w:p w14:paraId="16BA352B" w14:textId="77777777" w:rsidR="0077371C" w:rsidRDefault="0077371C" w:rsidP="008A722F">
            <w:pPr>
              <w:overflowPunct w:val="0"/>
              <w:autoSpaceDE w:val="0"/>
              <w:autoSpaceDN w:val="0"/>
              <w:adjustRightInd w:val="0"/>
              <w:textAlignment w:val="baseline"/>
              <w:rPr>
                <w:rFonts w:ascii="Arial" w:hAnsi="Arial" w:cs="Arial"/>
              </w:rPr>
            </w:pPr>
          </w:p>
          <w:p w14:paraId="25DD5269" w14:textId="77777777" w:rsidR="0077371C" w:rsidRDefault="0077371C" w:rsidP="008A722F">
            <w:pPr>
              <w:overflowPunct w:val="0"/>
              <w:autoSpaceDE w:val="0"/>
              <w:autoSpaceDN w:val="0"/>
              <w:adjustRightInd w:val="0"/>
              <w:textAlignment w:val="baseline"/>
              <w:rPr>
                <w:rFonts w:ascii="Arial" w:hAnsi="Arial" w:cs="Arial"/>
              </w:rPr>
            </w:pPr>
            <w:r>
              <w:rPr>
                <w:rFonts w:ascii="Arial" w:hAnsi="Arial" w:cs="Arial"/>
              </w:rPr>
              <w:t>Rubicon Budget Report 2026/27</w:t>
            </w:r>
          </w:p>
          <w:p w14:paraId="46711D72" w14:textId="77777777" w:rsidR="0077371C" w:rsidRDefault="0077371C" w:rsidP="008A722F">
            <w:pPr>
              <w:overflowPunct w:val="0"/>
              <w:autoSpaceDE w:val="0"/>
              <w:autoSpaceDN w:val="0"/>
              <w:adjustRightInd w:val="0"/>
              <w:textAlignment w:val="baseline"/>
              <w:rPr>
                <w:rFonts w:ascii="Arial" w:hAnsi="Arial" w:cs="Arial"/>
              </w:rPr>
            </w:pPr>
          </w:p>
          <w:p w14:paraId="5296EB48" w14:textId="22387CFF" w:rsidR="0077371C" w:rsidRDefault="0077371C" w:rsidP="008A722F">
            <w:pPr>
              <w:overflowPunct w:val="0"/>
              <w:autoSpaceDE w:val="0"/>
              <w:autoSpaceDN w:val="0"/>
              <w:adjustRightInd w:val="0"/>
              <w:textAlignment w:val="baseline"/>
              <w:rPr>
                <w:rFonts w:ascii="Arial" w:hAnsi="Arial" w:cs="Arial"/>
              </w:rPr>
            </w:pPr>
          </w:p>
        </w:tc>
      </w:tr>
      <w:tr w:rsidR="00294258" w14:paraId="299A8041" w14:textId="77777777" w:rsidTr="007A65D1">
        <w:tc>
          <w:tcPr>
            <w:tcW w:w="3823" w:type="dxa"/>
          </w:tcPr>
          <w:p w14:paraId="071893FD" w14:textId="77777777" w:rsidR="00294258" w:rsidRDefault="00294258" w:rsidP="00E042DE">
            <w:pPr>
              <w:rPr>
                <w:rFonts w:ascii="Arial" w:hAnsi="Arial" w:cs="Arial"/>
                <w:b/>
                <w:bCs/>
              </w:rPr>
            </w:pPr>
          </w:p>
          <w:p w14:paraId="6542C8C1" w14:textId="35F044EE" w:rsidR="00294258" w:rsidRDefault="00294258" w:rsidP="00E042DE">
            <w:pPr>
              <w:rPr>
                <w:rFonts w:ascii="Arial" w:hAnsi="Arial" w:cs="Arial"/>
                <w:b/>
                <w:bCs/>
              </w:rPr>
            </w:pPr>
            <w:r>
              <w:rPr>
                <w:rFonts w:ascii="Arial" w:hAnsi="Arial" w:cs="Arial"/>
                <w:b/>
                <w:bCs/>
              </w:rPr>
              <w:t>Reason why the decision needs to be taken under General Exception rules.</w:t>
            </w:r>
          </w:p>
          <w:p w14:paraId="288000F6" w14:textId="77777777" w:rsidR="00294258" w:rsidRDefault="00294258" w:rsidP="00E042DE">
            <w:pPr>
              <w:rPr>
                <w:rFonts w:ascii="Arial" w:hAnsi="Arial" w:cs="Arial"/>
                <w:b/>
                <w:bCs/>
              </w:rPr>
            </w:pPr>
          </w:p>
        </w:tc>
        <w:tc>
          <w:tcPr>
            <w:tcW w:w="5193" w:type="dxa"/>
          </w:tcPr>
          <w:p w14:paraId="2302237F" w14:textId="77777777" w:rsidR="00294258" w:rsidRDefault="00294258" w:rsidP="00E042DE">
            <w:pPr>
              <w:rPr>
                <w:rFonts w:ascii="Arial" w:hAnsi="Arial" w:cs="Arial"/>
              </w:rPr>
            </w:pPr>
          </w:p>
          <w:p w14:paraId="2883A612" w14:textId="77777777" w:rsidR="0077371C" w:rsidRDefault="0077371C" w:rsidP="0077371C">
            <w:pPr>
              <w:rPr>
                <w:rFonts w:ascii="Arial" w:hAnsi="Arial" w:cs="Arial"/>
              </w:rPr>
            </w:pPr>
            <w:r>
              <w:rPr>
                <w:rFonts w:ascii="Arial" w:hAnsi="Arial" w:cs="Arial"/>
              </w:rPr>
              <w:t xml:space="preserve">The item has previously been included on the Executive Committee’s Work </w:t>
            </w:r>
            <w:proofErr w:type="gramStart"/>
            <w:r>
              <w:rPr>
                <w:rFonts w:ascii="Arial" w:hAnsi="Arial" w:cs="Arial"/>
              </w:rPr>
              <w:t>Programme</w:t>
            </w:r>
            <w:proofErr w:type="gramEnd"/>
            <w:r>
              <w:rPr>
                <w:rFonts w:ascii="Arial" w:hAnsi="Arial" w:cs="Arial"/>
              </w:rPr>
              <w:t xml:space="preserve"> and more than 28 days’ notice has been provided that a key decision will be taken in respect of this matter.  However, the rescheduling of the Shareholders Committee meeting from 24</w:t>
            </w:r>
            <w:r w:rsidRPr="00917057">
              <w:rPr>
                <w:rFonts w:ascii="Arial" w:hAnsi="Arial" w:cs="Arial"/>
                <w:vertAlign w:val="superscript"/>
              </w:rPr>
              <w:t>th</w:t>
            </w:r>
            <w:r>
              <w:rPr>
                <w:rFonts w:ascii="Arial" w:hAnsi="Arial" w:cs="Arial"/>
              </w:rPr>
              <w:t xml:space="preserve"> March to 31</w:t>
            </w:r>
            <w:r w:rsidRPr="00917057">
              <w:rPr>
                <w:rFonts w:ascii="Arial" w:hAnsi="Arial" w:cs="Arial"/>
                <w:vertAlign w:val="superscript"/>
              </w:rPr>
              <w:t>st</w:t>
            </w:r>
            <w:r>
              <w:rPr>
                <w:rFonts w:ascii="Arial" w:hAnsi="Arial" w:cs="Arial"/>
              </w:rPr>
              <w:t xml:space="preserve"> March 2026 means that less than 28 days’ notice will have been given that the decision will be taken on 31</w:t>
            </w:r>
            <w:r w:rsidRPr="00917057">
              <w:rPr>
                <w:rFonts w:ascii="Arial" w:hAnsi="Arial" w:cs="Arial"/>
                <w:vertAlign w:val="superscript"/>
              </w:rPr>
              <w:t>st</w:t>
            </w:r>
            <w:r>
              <w:rPr>
                <w:rFonts w:ascii="Arial" w:hAnsi="Arial" w:cs="Arial"/>
              </w:rPr>
              <w:t xml:space="preserve"> March 2026.</w:t>
            </w:r>
          </w:p>
          <w:p w14:paraId="6F0D2355" w14:textId="77777777" w:rsidR="00294258" w:rsidRDefault="00294258" w:rsidP="008A722F">
            <w:pPr>
              <w:rPr>
                <w:rFonts w:ascii="Arial" w:hAnsi="Arial" w:cs="Arial"/>
              </w:rPr>
            </w:pPr>
          </w:p>
          <w:p w14:paraId="51B1B5DB" w14:textId="7034C1F7" w:rsidR="0077371C" w:rsidRDefault="0077371C" w:rsidP="008A722F">
            <w:pPr>
              <w:rPr>
                <w:rFonts w:ascii="Arial" w:hAnsi="Arial" w:cs="Arial"/>
              </w:rPr>
            </w:pPr>
          </w:p>
        </w:tc>
      </w:tr>
      <w:tr w:rsidR="00294258" w14:paraId="7EE9E888" w14:textId="77777777" w:rsidTr="007A65D1">
        <w:tc>
          <w:tcPr>
            <w:tcW w:w="3823" w:type="dxa"/>
          </w:tcPr>
          <w:p w14:paraId="5A8DC0EA" w14:textId="77777777" w:rsidR="00294258" w:rsidRDefault="00294258" w:rsidP="00E042DE">
            <w:pPr>
              <w:rPr>
                <w:rFonts w:ascii="Arial" w:hAnsi="Arial" w:cs="Arial"/>
                <w:b/>
                <w:bCs/>
              </w:rPr>
            </w:pPr>
          </w:p>
          <w:p w14:paraId="33B89B1E" w14:textId="77777777" w:rsidR="00294258" w:rsidRDefault="00294258" w:rsidP="000D3392">
            <w:pPr>
              <w:rPr>
                <w:rFonts w:ascii="Arial" w:hAnsi="Arial" w:cs="Arial"/>
                <w:b/>
                <w:bCs/>
              </w:rPr>
            </w:pPr>
            <w:r>
              <w:rPr>
                <w:rFonts w:ascii="Arial" w:hAnsi="Arial" w:cs="Arial"/>
                <w:b/>
                <w:bCs/>
              </w:rPr>
              <w:t xml:space="preserve">Date Chairman of the Overview and Scrutiny </w:t>
            </w:r>
            <w:r w:rsidR="00AC3FF3">
              <w:rPr>
                <w:rFonts w:ascii="Arial" w:hAnsi="Arial" w:cs="Arial"/>
                <w:b/>
                <w:bCs/>
              </w:rPr>
              <w:t>Committee</w:t>
            </w:r>
            <w:r>
              <w:rPr>
                <w:rFonts w:ascii="Arial" w:hAnsi="Arial" w:cs="Arial"/>
                <w:b/>
                <w:bCs/>
              </w:rPr>
              <w:t xml:space="preserve"> was notified of this General Exception</w:t>
            </w:r>
          </w:p>
          <w:p w14:paraId="21B2EBD5" w14:textId="4CD4EC65" w:rsidR="00AC3FF3" w:rsidRDefault="00AC3FF3" w:rsidP="000D3392">
            <w:pPr>
              <w:rPr>
                <w:rFonts w:ascii="Arial" w:hAnsi="Arial" w:cs="Arial"/>
                <w:b/>
                <w:bCs/>
              </w:rPr>
            </w:pPr>
          </w:p>
        </w:tc>
        <w:tc>
          <w:tcPr>
            <w:tcW w:w="5193" w:type="dxa"/>
          </w:tcPr>
          <w:p w14:paraId="3DC42964" w14:textId="77777777" w:rsidR="00294258" w:rsidRDefault="00294258" w:rsidP="00E042DE">
            <w:pPr>
              <w:rPr>
                <w:rFonts w:ascii="Arial" w:hAnsi="Arial" w:cs="Arial"/>
              </w:rPr>
            </w:pPr>
          </w:p>
          <w:p w14:paraId="680E1288" w14:textId="567DB4F8" w:rsidR="007A65D1" w:rsidRDefault="0077371C" w:rsidP="00E042DE">
            <w:pPr>
              <w:rPr>
                <w:rFonts w:ascii="Arial" w:hAnsi="Arial" w:cs="Arial"/>
              </w:rPr>
            </w:pPr>
            <w:r>
              <w:rPr>
                <w:rFonts w:ascii="Arial" w:hAnsi="Arial" w:cs="Arial"/>
              </w:rPr>
              <w:t>31</w:t>
            </w:r>
            <w:r w:rsidRPr="0077371C">
              <w:rPr>
                <w:rFonts w:ascii="Arial" w:hAnsi="Arial" w:cs="Arial"/>
                <w:vertAlign w:val="superscript"/>
              </w:rPr>
              <w:t>st</w:t>
            </w:r>
            <w:r>
              <w:rPr>
                <w:rFonts w:ascii="Arial" w:hAnsi="Arial" w:cs="Arial"/>
              </w:rPr>
              <w:t xml:space="preserve"> March 2026</w:t>
            </w:r>
          </w:p>
        </w:tc>
      </w:tr>
      <w:tr w:rsidR="00E042DE" w14:paraId="49E098B7" w14:textId="77777777" w:rsidTr="007A65D1">
        <w:tc>
          <w:tcPr>
            <w:tcW w:w="3823" w:type="dxa"/>
          </w:tcPr>
          <w:p w14:paraId="19E335D9" w14:textId="77777777" w:rsidR="00E042DE" w:rsidRDefault="00E042DE" w:rsidP="00E042DE">
            <w:pPr>
              <w:rPr>
                <w:rFonts w:ascii="Arial" w:hAnsi="Arial" w:cs="Arial"/>
                <w:b/>
                <w:bCs/>
              </w:rPr>
            </w:pPr>
          </w:p>
          <w:p w14:paraId="63BFDA82" w14:textId="1E9EB60B" w:rsidR="00294258" w:rsidRDefault="00294258" w:rsidP="00E042DE">
            <w:pPr>
              <w:rPr>
                <w:rFonts w:ascii="Arial" w:hAnsi="Arial" w:cs="Arial"/>
                <w:b/>
                <w:bCs/>
              </w:rPr>
            </w:pPr>
            <w:r>
              <w:rPr>
                <w:rFonts w:ascii="Arial" w:hAnsi="Arial" w:cs="Arial"/>
                <w:b/>
                <w:bCs/>
              </w:rPr>
              <w:t>Contact for Comments</w:t>
            </w:r>
          </w:p>
          <w:p w14:paraId="711B4EBE" w14:textId="77777777" w:rsidR="00294258" w:rsidRDefault="00294258" w:rsidP="00E042DE">
            <w:pPr>
              <w:rPr>
                <w:rFonts w:ascii="Arial" w:hAnsi="Arial" w:cs="Arial"/>
                <w:b/>
                <w:bCs/>
              </w:rPr>
            </w:pPr>
          </w:p>
        </w:tc>
        <w:tc>
          <w:tcPr>
            <w:tcW w:w="5193" w:type="dxa"/>
          </w:tcPr>
          <w:p w14:paraId="11834EC3" w14:textId="77777777" w:rsidR="00E042DE" w:rsidRDefault="00E042DE" w:rsidP="00E042DE">
            <w:pPr>
              <w:rPr>
                <w:rFonts w:ascii="Arial" w:hAnsi="Arial" w:cs="Arial"/>
              </w:rPr>
            </w:pPr>
          </w:p>
          <w:p w14:paraId="0642AF9C" w14:textId="77777777" w:rsidR="00294258" w:rsidRDefault="00861625" w:rsidP="008A722F">
            <w:pPr>
              <w:rPr>
                <w:rFonts w:ascii="Arial" w:hAnsi="Arial" w:cs="Arial"/>
              </w:rPr>
            </w:pPr>
            <w:r>
              <w:rPr>
                <w:rFonts w:ascii="Arial" w:hAnsi="Arial" w:cs="Arial"/>
              </w:rPr>
              <w:t xml:space="preserve">Claire Felton, Assistant Director of Legal, Democratic and Procurement Services at </w:t>
            </w:r>
            <w:hyperlink r:id="rId4" w:history="1">
              <w:r w:rsidRPr="00BC4BD2">
                <w:rPr>
                  <w:rStyle w:val="Hyperlink"/>
                  <w:rFonts w:ascii="Arial" w:hAnsi="Arial" w:cs="Arial"/>
                </w:rPr>
                <w:t>c.felton@bromsgroveandredditch.gov.uk</w:t>
              </w:r>
            </w:hyperlink>
            <w:r>
              <w:rPr>
                <w:rFonts w:ascii="Arial" w:hAnsi="Arial" w:cs="Arial"/>
              </w:rPr>
              <w:t xml:space="preserve"> </w:t>
            </w:r>
          </w:p>
          <w:p w14:paraId="3FA8CD81" w14:textId="1E7FB11E" w:rsidR="00861625" w:rsidRDefault="00861625" w:rsidP="008A722F">
            <w:pPr>
              <w:rPr>
                <w:rFonts w:ascii="Arial" w:hAnsi="Arial" w:cs="Arial"/>
              </w:rPr>
            </w:pPr>
          </w:p>
        </w:tc>
      </w:tr>
      <w:tr w:rsidR="007A65D1" w14:paraId="09B3E6DC" w14:textId="77777777" w:rsidTr="007A65D1">
        <w:tc>
          <w:tcPr>
            <w:tcW w:w="3823" w:type="dxa"/>
          </w:tcPr>
          <w:p w14:paraId="4B0A60D3" w14:textId="77777777" w:rsidR="007A65D1" w:rsidRDefault="007A65D1" w:rsidP="00E042DE">
            <w:pPr>
              <w:rPr>
                <w:rFonts w:ascii="Arial" w:hAnsi="Arial" w:cs="Arial"/>
                <w:b/>
                <w:bCs/>
              </w:rPr>
            </w:pPr>
          </w:p>
          <w:p w14:paraId="4A69F0EF" w14:textId="2D4A584F" w:rsidR="007A65D1" w:rsidRDefault="007A65D1" w:rsidP="00E042DE">
            <w:pPr>
              <w:rPr>
                <w:rFonts w:ascii="Arial" w:hAnsi="Arial" w:cs="Arial"/>
                <w:b/>
                <w:bCs/>
              </w:rPr>
            </w:pPr>
            <w:r>
              <w:rPr>
                <w:rFonts w:ascii="Arial" w:hAnsi="Arial" w:cs="Arial"/>
                <w:b/>
                <w:bCs/>
              </w:rPr>
              <w:t>Date this notice was published</w:t>
            </w:r>
          </w:p>
          <w:p w14:paraId="014A0D68" w14:textId="77777777" w:rsidR="007A65D1" w:rsidRDefault="007A65D1" w:rsidP="00E042DE">
            <w:pPr>
              <w:rPr>
                <w:rFonts w:ascii="Arial" w:hAnsi="Arial" w:cs="Arial"/>
                <w:b/>
                <w:bCs/>
              </w:rPr>
            </w:pPr>
          </w:p>
        </w:tc>
        <w:tc>
          <w:tcPr>
            <w:tcW w:w="5193" w:type="dxa"/>
          </w:tcPr>
          <w:p w14:paraId="35462230" w14:textId="77777777" w:rsidR="007A65D1" w:rsidRDefault="007A65D1" w:rsidP="00E042DE">
            <w:pPr>
              <w:rPr>
                <w:rFonts w:ascii="Arial" w:hAnsi="Arial" w:cs="Arial"/>
              </w:rPr>
            </w:pPr>
          </w:p>
          <w:p w14:paraId="10F1075B" w14:textId="4A80F320" w:rsidR="007A65D1" w:rsidRDefault="0077371C" w:rsidP="00E042DE">
            <w:pPr>
              <w:rPr>
                <w:rFonts w:ascii="Arial" w:hAnsi="Arial" w:cs="Arial"/>
              </w:rPr>
            </w:pPr>
            <w:r>
              <w:rPr>
                <w:rFonts w:ascii="Arial" w:hAnsi="Arial" w:cs="Arial"/>
              </w:rPr>
              <w:t>20</w:t>
            </w:r>
            <w:r w:rsidRPr="0077371C">
              <w:rPr>
                <w:rFonts w:ascii="Arial" w:hAnsi="Arial" w:cs="Arial"/>
                <w:vertAlign w:val="superscript"/>
              </w:rPr>
              <w:t>th</w:t>
            </w:r>
            <w:r>
              <w:rPr>
                <w:rFonts w:ascii="Arial" w:hAnsi="Arial" w:cs="Arial"/>
              </w:rPr>
              <w:t xml:space="preserve"> March 2026</w:t>
            </w:r>
          </w:p>
        </w:tc>
      </w:tr>
    </w:tbl>
    <w:p w14:paraId="0F5A4370" w14:textId="77777777" w:rsidR="00E042DE" w:rsidRPr="00E042DE" w:rsidRDefault="00E042DE" w:rsidP="00E042DE">
      <w:pPr>
        <w:rPr>
          <w:rFonts w:ascii="Arial" w:hAnsi="Arial" w:cs="Arial"/>
        </w:rPr>
      </w:pPr>
    </w:p>
    <w:sectPr w:rsidR="00E042DE" w:rsidRPr="00E042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2DE"/>
    <w:rsid w:val="000D3392"/>
    <w:rsid w:val="000E735B"/>
    <w:rsid w:val="001A5704"/>
    <w:rsid w:val="00294258"/>
    <w:rsid w:val="00510747"/>
    <w:rsid w:val="00511422"/>
    <w:rsid w:val="0077371C"/>
    <w:rsid w:val="007A65D1"/>
    <w:rsid w:val="00861625"/>
    <w:rsid w:val="008A722F"/>
    <w:rsid w:val="008C61DE"/>
    <w:rsid w:val="00AC3FF3"/>
    <w:rsid w:val="00BC6F4E"/>
    <w:rsid w:val="00E042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72749"/>
  <w15:chartTrackingRefBased/>
  <w15:docId w15:val="{3C9DAA6B-4A72-4B24-97E2-548E917EC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42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42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42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42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42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42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42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42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42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2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42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42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42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42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42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42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42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42DE"/>
    <w:rPr>
      <w:rFonts w:eastAsiaTheme="majorEastAsia" w:cstheme="majorBidi"/>
      <w:color w:val="272727" w:themeColor="text1" w:themeTint="D8"/>
    </w:rPr>
  </w:style>
  <w:style w:type="paragraph" w:styleId="Title">
    <w:name w:val="Title"/>
    <w:basedOn w:val="Normal"/>
    <w:next w:val="Normal"/>
    <w:link w:val="TitleChar"/>
    <w:uiPriority w:val="10"/>
    <w:qFormat/>
    <w:rsid w:val="00E042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42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42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42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42DE"/>
    <w:pPr>
      <w:spacing w:before="160"/>
      <w:jc w:val="center"/>
    </w:pPr>
    <w:rPr>
      <w:i/>
      <w:iCs/>
      <w:color w:val="404040" w:themeColor="text1" w:themeTint="BF"/>
    </w:rPr>
  </w:style>
  <w:style w:type="character" w:customStyle="1" w:styleId="QuoteChar">
    <w:name w:val="Quote Char"/>
    <w:basedOn w:val="DefaultParagraphFont"/>
    <w:link w:val="Quote"/>
    <w:uiPriority w:val="29"/>
    <w:rsid w:val="00E042DE"/>
    <w:rPr>
      <w:i/>
      <w:iCs/>
      <w:color w:val="404040" w:themeColor="text1" w:themeTint="BF"/>
    </w:rPr>
  </w:style>
  <w:style w:type="paragraph" w:styleId="ListParagraph">
    <w:name w:val="List Paragraph"/>
    <w:basedOn w:val="Normal"/>
    <w:uiPriority w:val="34"/>
    <w:qFormat/>
    <w:rsid w:val="00E042DE"/>
    <w:pPr>
      <w:ind w:left="720"/>
      <w:contextualSpacing/>
    </w:pPr>
  </w:style>
  <w:style w:type="character" w:styleId="IntenseEmphasis">
    <w:name w:val="Intense Emphasis"/>
    <w:basedOn w:val="DefaultParagraphFont"/>
    <w:uiPriority w:val="21"/>
    <w:qFormat/>
    <w:rsid w:val="00E042DE"/>
    <w:rPr>
      <w:i/>
      <w:iCs/>
      <w:color w:val="0F4761" w:themeColor="accent1" w:themeShade="BF"/>
    </w:rPr>
  </w:style>
  <w:style w:type="paragraph" w:styleId="IntenseQuote">
    <w:name w:val="Intense Quote"/>
    <w:basedOn w:val="Normal"/>
    <w:next w:val="Normal"/>
    <w:link w:val="IntenseQuoteChar"/>
    <w:uiPriority w:val="30"/>
    <w:qFormat/>
    <w:rsid w:val="00E042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42DE"/>
    <w:rPr>
      <w:i/>
      <w:iCs/>
      <w:color w:val="0F4761" w:themeColor="accent1" w:themeShade="BF"/>
    </w:rPr>
  </w:style>
  <w:style w:type="character" w:styleId="IntenseReference">
    <w:name w:val="Intense Reference"/>
    <w:basedOn w:val="DefaultParagraphFont"/>
    <w:uiPriority w:val="32"/>
    <w:qFormat/>
    <w:rsid w:val="00E042DE"/>
    <w:rPr>
      <w:b/>
      <w:bCs/>
      <w:smallCaps/>
      <w:color w:val="0F4761" w:themeColor="accent1" w:themeShade="BF"/>
      <w:spacing w:val="5"/>
    </w:rPr>
  </w:style>
  <w:style w:type="table" w:styleId="TableGrid">
    <w:name w:val="Table Grid"/>
    <w:basedOn w:val="TableNormal"/>
    <w:uiPriority w:val="39"/>
    <w:rsid w:val="00E042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1625"/>
    <w:rPr>
      <w:color w:val="467886" w:themeColor="hyperlink"/>
      <w:u w:val="single"/>
    </w:rPr>
  </w:style>
  <w:style w:type="character" w:styleId="UnresolvedMention">
    <w:name w:val="Unresolved Mention"/>
    <w:basedOn w:val="DefaultParagraphFont"/>
    <w:uiPriority w:val="99"/>
    <w:semiHidden/>
    <w:unhideWhenUsed/>
    <w:rsid w:val="008616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felton@bromsgroveandredditch.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262</Words>
  <Characters>1496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Bayley-Hill - Principal Democratic Services Officer</dc:creator>
  <cp:keywords/>
  <dc:description/>
  <cp:lastModifiedBy>Jess Bayley-Hill - Principal Democratic Services Officer</cp:lastModifiedBy>
  <cp:revision>7</cp:revision>
  <dcterms:created xsi:type="dcterms:W3CDTF">2026-02-04T09:20:00Z</dcterms:created>
  <dcterms:modified xsi:type="dcterms:W3CDTF">2026-03-20T17:52:00Z</dcterms:modified>
</cp:coreProperties>
</file>