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1A" w:rsidRPr="00ED7E1A" w:rsidRDefault="00ED7E1A" w:rsidP="00647132">
      <w:pPr>
        <w:tabs>
          <w:tab w:val="left" w:pos="567"/>
        </w:tabs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ED7E1A">
        <w:rPr>
          <w:b/>
          <w:noProof/>
          <w:sz w:val="24"/>
          <w:szCs w:val="24"/>
          <w:lang w:eastAsia="en-GB"/>
        </w:rPr>
        <w:drawing>
          <wp:anchor distT="0" distB="0" distL="0" distR="114300" simplePos="0" relativeHeight="251658240" behindDoc="1" locked="0" layoutInCell="1" allowOverlap="1" wp14:anchorId="4A537704" wp14:editId="7F09B602">
            <wp:simplePos x="0" y="0"/>
            <wp:positionH relativeFrom="column">
              <wp:posOffset>-666750</wp:posOffset>
            </wp:positionH>
            <wp:positionV relativeFrom="paragraph">
              <wp:posOffset>134620</wp:posOffset>
            </wp:positionV>
            <wp:extent cx="773430" cy="766445"/>
            <wp:effectExtent l="0" t="0" r="7620" b="0"/>
            <wp:wrapThrough wrapText="bothSides">
              <wp:wrapPolygon edited="0">
                <wp:start x="0" y="0"/>
                <wp:lineTo x="0" y="20938"/>
                <wp:lineTo x="21281" y="20938"/>
                <wp:lineTo x="21281" y="0"/>
                <wp:lineTo x="0" y="0"/>
              </wp:wrapPolygon>
            </wp:wrapThrough>
            <wp:docPr id="2" name="Picture 2" descr="RBCMADWEB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BCMADWEB logo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805" w:rsidRPr="00ED7E1A" w:rsidRDefault="00ED7E1A" w:rsidP="00ED7E1A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ED7E1A">
        <w:rPr>
          <w:rFonts w:ascii="Arial" w:hAnsi="Arial" w:cs="Arial"/>
          <w:b/>
          <w:sz w:val="24"/>
          <w:szCs w:val="24"/>
        </w:rPr>
        <w:t>Unsuccessful Nominations for the Assets of Community Value Register</w:t>
      </w:r>
    </w:p>
    <w:p w:rsidR="00ED7E1A" w:rsidRDefault="00ED7E1A" w:rsidP="00647132">
      <w:pPr>
        <w:tabs>
          <w:tab w:val="left" w:pos="567"/>
        </w:tabs>
        <w:ind w:left="-1134" w:right="-448"/>
        <w:rPr>
          <w:rFonts w:ascii="Arial" w:hAnsi="Arial" w:cs="Arial"/>
          <w:sz w:val="20"/>
          <w:szCs w:val="20"/>
        </w:rPr>
      </w:pPr>
      <w:r w:rsidRPr="00647132">
        <w:rPr>
          <w:rFonts w:ascii="Arial" w:hAnsi="Arial" w:cs="Arial"/>
          <w:sz w:val="20"/>
          <w:szCs w:val="20"/>
        </w:rPr>
        <w:t>Local authorities are required by law to maintain and publish a register of assets that have been nominated as being of community value but that have been assessed by the</w:t>
      </w:r>
      <w:r w:rsidR="00DD4CA8">
        <w:rPr>
          <w:rFonts w:ascii="Arial" w:hAnsi="Arial" w:cs="Arial"/>
          <w:sz w:val="20"/>
          <w:szCs w:val="20"/>
        </w:rPr>
        <w:t xml:space="preserve"> local authority as not meeting</w:t>
      </w:r>
      <w:r w:rsidRPr="00647132">
        <w:rPr>
          <w:rFonts w:ascii="Arial" w:hAnsi="Arial" w:cs="Arial"/>
          <w:sz w:val="20"/>
          <w:szCs w:val="20"/>
        </w:rPr>
        <w:t xml:space="preserve"> the criteria set out in the legislation.  Assets that do no</w:t>
      </w:r>
      <w:r w:rsidR="00647132">
        <w:rPr>
          <w:rFonts w:ascii="Arial" w:hAnsi="Arial" w:cs="Arial"/>
          <w:sz w:val="20"/>
          <w:szCs w:val="20"/>
        </w:rPr>
        <w:t>t</w:t>
      </w:r>
      <w:r w:rsidRPr="00647132">
        <w:rPr>
          <w:rFonts w:ascii="Arial" w:hAnsi="Arial" w:cs="Arial"/>
          <w:sz w:val="20"/>
          <w:szCs w:val="20"/>
        </w:rPr>
        <w:t xml:space="preserve"> meet the criteria for listing are </w:t>
      </w:r>
      <w:r w:rsidR="00647132" w:rsidRPr="00647132">
        <w:rPr>
          <w:rFonts w:ascii="Arial" w:hAnsi="Arial" w:cs="Arial"/>
          <w:sz w:val="20"/>
          <w:szCs w:val="20"/>
        </w:rPr>
        <w:t>i</w:t>
      </w:r>
      <w:r w:rsidRPr="00647132">
        <w:rPr>
          <w:rFonts w:ascii="Arial" w:hAnsi="Arial" w:cs="Arial"/>
          <w:sz w:val="20"/>
          <w:szCs w:val="20"/>
        </w:rPr>
        <w:t>ncluded on the register below</w:t>
      </w:r>
    </w:p>
    <w:tbl>
      <w:tblPr>
        <w:tblStyle w:val="TableGrid"/>
        <w:tblW w:w="16127" w:type="dxa"/>
        <w:tblInd w:w="-9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44"/>
        <w:gridCol w:w="3479"/>
        <w:gridCol w:w="1766"/>
        <w:gridCol w:w="1559"/>
        <w:gridCol w:w="6379"/>
      </w:tblGrid>
      <w:tr w:rsidR="00BD0F0C" w:rsidTr="004E265E">
        <w:trPr>
          <w:tblHeader/>
        </w:trPr>
        <w:tc>
          <w:tcPr>
            <w:tcW w:w="29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3AD7" w:rsidRDefault="00096590" w:rsidP="004E265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Asset Name and </w:t>
            </w:r>
          </w:p>
          <w:p w:rsidR="00096590" w:rsidRDefault="00096590" w:rsidP="004E265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6590" w:rsidRDefault="00DD4CA8" w:rsidP="004E265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Nominating Party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6590" w:rsidRDefault="00BD0F0C" w:rsidP="004E2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</w:t>
            </w:r>
          </w:p>
          <w:p w:rsidR="00BD0F0C" w:rsidRDefault="00BD0F0C" w:rsidP="004E2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4CA8" w:rsidRDefault="00DD4CA8" w:rsidP="004E265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</w:t>
            </w:r>
          </w:p>
          <w:p w:rsidR="00096590" w:rsidRDefault="00DD4CA8" w:rsidP="004E265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6590" w:rsidRDefault="00DD4CA8" w:rsidP="004E265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Asset Not Being Listed</w:t>
            </w:r>
          </w:p>
          <w:p w:rsidR="00DD4CA8" w:rsidRDefault="00DD4CA8" w:rsidP="004E265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45382" w:rsidTr="004E265E">
        <w:trPr>
          <w:trHeight w:val="1314"/>
        </w:trPr>
        <w:tc>
          <w:tcPr>
            <w:tcW w:w="2944" w:type="dxa"/>
            <w:shd w:val="clear" w:color="auto" w:fill="FFFFFF" w:themeFill="background1"/>
          </w:tcPr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Norgrove House</w:t>
            </w:r>
          </w:p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Webheath</w:t>
            </w:r>
          </w:p>
          <w:p w:rsidR="00945382" w:rsidRPr="009E4CF5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Redditch</w:t>
            </w:r>
          </w:p>
        </w:tc>
        <w:tc>
          <w:tcPr>
            <w:tcW w:w="3479" w:type="dxa"/>
            <w:shd w:val="clear" w:color="auto" w:fill="FFFFFF" w:themeFill="background1"/>
          </w:tcPr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Webheath Action Group</w:t>
            </w:r>
          </w:p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c/o 18 Crumpfields Lane</w:t>
            </w:r>
          </w:p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Webheath</w:t>
            </w:r>
          </w:p>
          <w:p w:rsidR="00945382" w:rsidRDefault="003347AE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B97 5PN</w:t>
            </w:r>
          </w:p>
        </w:tc>
        <w:tc>
          <w:tcPr>
            <w:tcW w:w="1766" w:type="dxa"/>
            <w:shd w:val="clear" w:color="auto" w:fill="FFFFFF" w:themeFill="background1"/>
          </w:tcPr>
          <w:p w:rsidR="00945382" w:rsidRDefault="00945382" w:rsidP="004E265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03.01.14</w:t>
            </w:r>
          </w:p>
        </w:tc>
        <w:tc>
          <w:tcPr>
            <w:tcW w:w="1559" w:type="dxa"/>
            <w:shd w:val="clear" w:color="auto" w:fill="FFFFFF" w:themeFill="background1"/>
          </w:tcPr>
          <w:p w:rsidR="00945382" w:rsidRDefault="00945382" w:rsidP="004E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24.02.14</w:t>
            </w:r>
          </w:p>
        </w:tc>
        <w:tc>
          <w:tcPr>
            <w:tcW w:w="6379" w:type="dxa"/>
            <w:shd w:val="clear" w:color="auto" w:fill="FFFFFF" w:themeFill="background1"/>
          </w:tcPr>
          <w:p w:rsidR="00945382" w:rsidRPr="009E4CF5" w:rsidRDefault="003347AE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r w:rsidR="00945382">
              <w:rPr>
                <w:rFonts w:ascii="Arial" w:hAnsi="Arial" w:cs="Arial"/>
              </w:rPr>
              <w:t>88(</w:t>
            </w:r>
            <w:proofErr w:type="gramEnd"/>
            <w:r w:rsidR="00945382">
              <w:rPr>
                <w:rFonts w:ascii="Arial" w:hAnsi="Arial" w:cs="Arial"/>
              </w:rPr>
              <w:t xml:space="preserve">1)(a) or (b) have not been met.  The land never had a community use.  </w:t>
            </w:r>
          </w:p>
        </w:tc>
      </w:tr>
      <w:tr w:rsidR="00945382" w:rsidTr="004E265E">
        <w:trPr>
          <w:trHeight w:val="1314"/>
        </w:trPr>
        <w:tc>
          <w:tcPr>
            <w:tcW w:w="2944" w:type="dxa"/>
            <w:shd w:val="clear" w:color="auto" w:fill="FFFFFF" w:themeFill="background1"/>
          </w:tcPr>
          <w:p w:rsidR="00945382" w:rsidRDefault="00040548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Clive Works</w:t>
            </w:r>
          </w:p>
          <w:p w:rsidR="00945382" w:rsidRDefault="00534A6C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 Street</w:t>
            </w:r>
          </w:p>
          <w:p w:rsidR="00534A6C" w:rsidRPr="009E4CF5" w:rsidRDefault="00534A6C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Redditch</w:t>
            </w:r>
          </w:p>
        </w:tc>
        <w:tc>
          <w:tcPr>
            <w:tcW w:w="3479" w:type="dxa"/>
            <w:shd w:val="clear" w:color="auto" w:fill="FFFFFF" w:themeFill="background1"/>
          </w:tcPr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Point </w:t>
            </w:r>
            <w:r w:rsidR="00534A6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 Time CIC</w:t>
            </w:r>
          </w:p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c/o Charles Lovell &amp; Co</w:t>
            </w:r>
          </w:p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Church Green East</w:t>
            </w:r>
          </w:p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Redditch</w:t>
            </w:r>
          </w:p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B98 8BP</w:t>
            </w:r>
          </w:p>
        </w:tc>
        <w:tc>
          <w:tcPr>
            <w:tcW w:w="1766" w:type="dxa"/>
            <w:shd w:val="clear" w:color="auto" w:fill="FFFFFF" w:themeFill="background1"/>
          </w:tcPr>
          <w:p w:rsidR="00945382" w:rsidRDefault="00D659B1" w:rsidP="004E265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45382">
              <w:rPr>
                <w:rFonts w:ascii="Arial" w:hAnsi="Arial" w:cs="Arial"/>
              </w:rPr>
              <w:t>.07.14</w:t>
            </w:r>
          </w:p>
        </w:tc>
        <w:tc>
          <w:tcPr>
            <w:tcW w:w="1559" w:type="dxa"/>
            <w:shd w:val="clear" w:color="auto" w:fill="FFFFFF" w:themeFill="background1"/>
          </w:tcPr>
          <w:p w:rsidR="00945382" w:rsidRDefault="00945382" w:rsidP="004E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23.07.14</w:t>
            </w:r>
          </w:p>
        </w:tc>
        <w:tc>
          <w:tcPr>
            <w:tcW w:w="6379" w:type="dxa"/>
            <w:shd w:val="clear" w:color="auto" w:fill="FFFFFF" w:themeFill="background1"/>
          </w:tcPr>
          <w:p w:rsidR="00945382" w:rsidRPr="009E4CF5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S88(1)(a) or (b) have not been met.  The land never had a community use.  </w:t>
            </w:r>
          </w:p>
        </w:tc>
      </w:tr>
      <w:tr w:rsidR="00945382" w:rsidTr="004E265E">
        <w:trPr>
          <w:trHeight w:val="1314"/>
        </w:trPr>
        <w:tc>
          <w:tcPr>
            <w:tcW w:w="2944" w:type="dxa"/>
            <w:shd w:val="clear" w:color="auto" w:fill="FFFFFF" w:themeFill="background1"/>
          </w:tcPr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Ashleigh Works</w:t>
            </w:r>
          </w:p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Bromsgrove Road</w:t>
            </w:r>
          </w:p>
          <w:p w:rsidR="00945382" w:rsidRPr="009E4CF5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Redditch</w:t>
            </w:r>
          </w:p>
        </w:tc>
        <w:tc>
          <w:tcPr>
            <w:tcW w:w="3479" w:type="dxa"/>
            <w:shd w:val="clear" w:color="auto" w:fill="FFFFFF" w:themeFill="background1"/>
          </w:tcPr>
          <w:p w:rsidR="00945382" w:rsidRDefault="00534A6C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Point in </w:t>
            </w:r>
            <w:r w:rsidR="00945382">
              <w:rPr>
                <w:rFonts w:ascii="Arial" w:hAnsi="Arial" w:cs="Arial"/>
              </w:rPr>
              <w:t>Time CIC</w:t>
            </w:r>
          </w:p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c/o Charles Lovell &amp; Co</w:t>
            </w:r>
          </w:p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Church Green East</w:t>
            </w:r>
          </w:p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Redditch</w:t>
            </w:r>
          </w:p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B98 8BP</w:t>
            </w:r>
          </w:p>
        </w:tc>
        <w:tc>
          <w:tcPr>
            <w:tcW w:w="1766" w:type="dxa"/>
            <w:shd w:val="clear" w:color="auto" w:fill="FFFFFF" w:themeFill="background1"/>
          </w:tcPr>
          <w:p w:rsidR="00945382" w:rsidRDefault="00945382" w:rsidP="004E265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18.01.17</w:t>
            </w:r>
          </w:p>
        </w:tc>
        <w:tc>
          <w:tcPr>
            <w:tcW w:w="1559" w:type="dxa"/>
            <w:shd w:val="clear" w:color="auto" w:fill="FFFFFF" w:themeFill="background1"/>
          </w:tcPr>
          <w:p w:rsidR="00945382" w:rsidRDefault="00945382" w:rsidP="004E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20.01.17</w:t>
            </w:r>
          </w:p>
        </w:tc>
        <w:tc>
          <w:tcPr>
            <w:tcW w:w="6379" w:type="dxa"/>
            <w:shd w:val="clear" w:color="auto" w:fill="FFFFFF" w:themeFill="background1"/>
          </w:tcPr>
          <w:p w:rsidR="00945382" w:rsidRPr="009E4CF5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S88(1)(a) or (b) have not been met.  The land never had a community use.  </w:t>
            </w:r>
          </w:p>
        </w:tc>
      </w:tr>
      <w:tr w:rsidR="00945382" w:rsidTr="004E265E">
        <w:trPr>
          <w:trHeight w:val="1314"/>
        </w:trPr>
        <w:tc>
          <w:tcPr>
            <w:tcW w:w="2944" w:type="dxa"/>
            <w:shd w:val="clear" w:color="auto" w:fill="FFFFFF" w:themeFill="background1"/>
          </w:tcPr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9E4CF5">
              <w:rPr>
                <w:rFonts w:ascii="Arial" w:hAnsi="Arial" w:cs="Arial"/>
              </w:rPr>
              <w:t>Woodrow Medical Centre</w:t>
            </w:r>
          </w:p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Woodrow Centre</w:t>
            </w:r>
          </w:p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Redditch</w:t>
            </w:r>
          </w:p>
          <w:p w:rsidR="00945382" w:rsidRPr="009E4CF5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B98 7RY</w:t>
            </w:r>
          </w:p>
        </w:tc>
        <w:tc>
          <w:tcPr>
            <w:tcW w:w="3479" w:type="dxa"/>
            <w:shd w:val="clear" w:color="auto" w:fill="FFFFFF" w:themeFill="background1"/>
          </w:tcPr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E4CF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Matchborough Scout Group</w:t>
            </w:r>
          </w:p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Scout Hut</w:t>
            </w:r>
          </w:p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Sward Lane</w:t>
            </w:r>
          </w:p>
          <w:p w:rsidR="00945382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Redditch</w:t>
            </w:r>
          </w:p>
          <w:p w:rsidR="00945382" w:rsidRPr="009E4CF5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B98 0EN</w:t>
            </w:r>
          </w:p>
        </w:tc>
        <w:tc>
          <w:tcPr>
            <w:tcW w:w="1766" w:type="dxa"/>
            <w:shd w:val="clear" w:color="auto" w:fill="FFFFFF" w:themeFill="background1"/>
          </w:tcPr>
          <w:p w:rsidR="00945382" w:rsidRPr="009E4CF5" w:rsidRDefault="00945382" w:rsidP="004E265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03.10.18</w:t>
            </w:r>
          </w:p>
        </w:tc>
        <w:tc>
          <w:tcPr>
            <w:tcW w:w="1559" w:type="dxa"/>
            <w:shd w:val="clear" w:color="auto" w:fill="FFFFFF" w:themeFill="background1"/>
          </w:tcPr>
          <w:p w:rsidR="00945382" w:rsidRPr="009E4CF5" w:rsidRDefault="00945382" w:rsidP="004E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31.10.18</w:t>
            </w:r>
          </w:p>
        </w:tc>
        <w:tc>
          <w:tcPr>
            <w:tcW w:w="6379" w:type="dxa"/>
            <w:shd w:val="clear" w:color="auto" w:fill="FFFFFF" w:themeFill="background1"/>
          </w:tcPr>
          <w:p w:rsidR="004E265E" w:rsidRDefault="00945382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Council is of the opinion that</w:t>
            </w:r>
            <w:r w:rsidRPr="00BD0F0C">
              <w:rPr>
                <w:rFonts w:ascii="Arial" w:hAnsi="Arial" w:cs="Arial"/>
              </w:rPr>
              <w:t xml:space="preserve"> the statutory </w:t>
            </w:r>
            <w:r w:rsidR="004E265E">
              <w:rPr>
                <w:rFonts w:ascii="Arial" w:hAnsi="Arial" w:cs="Arial"/>
              </w:rPr>
              <w:t>cri</w:t>
            </w:r>
            <w:r w:rsidRPr="00BD0F0C">
              <w:rPr>
                <w:rFonts w:ascii="Arial" w:hAnsi="Arial" w:cs="Arial"/>
              </w:rPr>
              <w:t xml:space="preserve">teria set out in </w:t>
            </w:r>
          </w:p>
          <w:p w:rsidR="00945382" w:rsidRPr="00BD0F0C" w:rsidRDefault="004E265E" w:rsidP="004E265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45382" w:rsidRPr="00BD0F0C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(1)(a)</w:t>
            </w:r>
            <w:r w:rsidR="00945382" w:rsidRPr="00BD0F0C">
              <w:rPr>
                <w:rFonts w:ascii="Arial" w:hAnsi="Arial" w:cs="Arial"/>
              </w:rPr>
              <w:t xml:space="preserve"> of the Act </w:t>
            </w:r>
            <w:r>
              <w:rPr>
                <w:rFonts w:ascii="Arial" w:hAnsi="Arial" w:cs="Arial"/>
              </w:rPr>
              <w:t xml:space="preserve">as to its current non-ancillary use, have not been met.  </w:t>
            </w:r>
          </w:p>
        </w:tc>
      </w:tr>
    </w:tbl>
    <w:p w:rsidR="00096590" w:rsidRDefault="00096590" w:rsidP="00DD4CA8">
      <w:pPr>
        <w:tabs>
          <w:tab w:val="left" w:pos="567"/>
        </w:tabs>
        <w:ind w:left="-993" w:right="-448"/>
        <w:jc w:val="both"/>
        <w:rPr>
          <w:rFonts w:ascii="Arial" w:hAnsi="Arial" w:cs="Arial"/>
          <w:b/>
        </w:rPr>
      </w:pPr>
    </w:p>
    <w:sectPr w:rsidR="00096590" w:rsidSect="00ED7E1A">
      <w:pgSz w:w="16838" w:h="11906" w:orient="landscape"/>
      <w:pgMar w:top="1440" w:right="67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1A"/>
    <w:rsid w:val="00006A86"/>
    <w:rsid w:val="000219B7"/>
    <w:rsid w:val="00040548"/>
    <w:rsid w:val="00096590"/>
    <w:rsid w:val="003347AE"/>
    <w:rsid w:val="00470805"/>
    <w:rsid w:val="004A33E0"/>
    <w:rsid w:val="004E265E"/>
    <w:rsid w:val="00534A6C"/>
    <w:rsid w:val="00647132"/>
    <w:rsid w:val="00945382"/>
    <w:rsid w:val="009E4CF5"/>
    <w:rsid w:val="00B0048E"/>
    <w:rsid w:val="00BD0F0C"/>
    <w:rsid w:val="00D659B1"/>
    <w:rsid w:val="00DD4CA8"/>
    <w:rsid w:val="00E471C7"/>
    <w:rsid w:val="00ED7E1A"/>
    <w:rsid w:val="00FA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Newman</dc:creator>
  <cp:lastModifiedBy>Barbara Newman</cp:lastModifiedBy>
  <cp:revision>8</cp:revision>
  <cp:lastPrinted>2018-10-29T16:53:00Z</cp:lastPrinted>
  <dcterms:created xsi:type="dcterms:W3CDTF">2018-10-29T16:12:00Z</dcterms:created>
  <dcterms:modified xsi:type="dcterms:W3CDTF">2018-11-02T10:30:00Z</dcterms:modified>
</cp:coreProperties>
</file>